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F8405A" w:rsidRDefault="00F8405A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Марксовского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C4417F">
        <w:rPr>
          <w:b/>
        </w:rPr>
        <w:t>а</w:t>
      </w:r>
      <w:r w:rsidRPr="00427EB7">
        <w:rPr>
          <w:b/>
        </w:rPr>
        <w:t xml:space="preserve"> аренды земельн</w:t>
      </w:r>
      <w:r w:rsidR="00C4417F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C4417F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Марксовского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>администрация Марксовского муниципального района Саратовской области в лице управления земельно-имущественных отношений администрации Марксовского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Марксовского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Марксовского муниципального района Саратовской области, Постановление администрации Марксовского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C4417F">
        <w:rPr>
          <w:color w:val="000000" w:themeColor="text1"/>
        </w:rPr>
        <w:t xml:space="preserve"> </w:t>
      </w:r>
      <w:r w:rsidR="009F4955">
        <w:rPr>
          <w:color w:val="000000" w:themeColor="text1"/>
        </w:rPr>
        <w:t>21.08.2017</w:t>
      </w:r>
      <w:r w:rsidR="00C4417F">
        <w:rPr>
          <w:color w:val="000000" w:themeColor="text1"/>
        </w:rPr>
        <w:t xml:space="preserve"> </w:t>
      </w:r>
      <w:r w:rsidR="00CC6DCD" w:rsidRPr="00CA313A">
        <w:rPr>
          <w:color w:val="000000" w:themeColor="text1"/>
        </w:rPr>
        <w:t>г.</w:t>
      </w:r>
      <w:r w:rsidR="00106D58" w:rsidRPr="00CA313A">
        <w:rPr>
          <w:color w:val="000000" w:themeColor="text1"/>
        </w:rPr>
        <w:t xml:space="preserve">   №</w:t>
      </w:r>
      <w:r w:rsidR="00F8405A">
        <w:rPr>
          <w:color w:val="000000" w:themeColor="text1"/>
        </w:rPr>
        <w:t xml:space="preserve"> </w:t>
      </w:r>
      <w:r w:rsidR="009F4955">
        <w:rPr>
          <w:color w:val="000000" w:themeColor="text1"/>
        </w:rPr>
        <w:t>1512</w:t>
      </w:r>
      <w:r w:rsidR="00620EAC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«25» сентября  2017 года  в 11 ч. 00 мин</w:t>
      </w:r>
      <w:proofErr w:type="gramStart"/>
      <w:r w:rsidR="00C4417F" w:rsidRPr="00C4417F">
        <w:rPr>
          <w:b/>
          <w:color w:val="000000"/>
        </w:rPr>
        <w:t>.</w:t>
      </w:r>
      <w:r w:rsidRPr="00427EB7">
        <w:t>п</w:t>
      </w:r>
      <w:proofErr w:type="gramEnd"/>
      <w:r w:rsidRPr="00427EB7">
        <w:t xml:space="preserve">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8405A" w:rsidRPr="00F8405A" w:rsidRDefault="00851283" w:rsidP="00C4417F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  <w:r w:rsidR="00F8405A" w:rsidRPr="00F8405A">
        <w:t xml:space="preserve"> </w:t>
      </w:r>
    </w:p>
    <w:p w:rsidR="00C4417F" w:rsidRPr="00C4417F" w:rsidRDefault="00C4417F" w:rsidP="00C4417F">
      <w:pPr>
        <w:spacing w:line="260" w:lineRule="exact"/>
        <w:jc w:val="both"/>
      </w:pPr>
      <w:r w:rsidRPr="00C4417F">
        <w:t>ЛОТ № 1</w:t>
      </w:r>
      <w:r w:rsidR="00F8405A" w:rsidRPr="00C4417F">
        <w:t xml:space="preserve">: </w:t>
      </w:r>
      <w:r w:rsidRPr="00C4417F">
        <w:t xml:space="preserve">право на заключение договора аренды на земельный участок, расположенный по адресу: </w:t>
      </w:r>
      <w:proofErr w:type="gramStart"/>
      <w:r w:rsidRPr="00C4417F">
        <w:t>Саратовская область, г. Маркс, примерно в 11 м по направлению на юго-восток от жилого многоквартирного дома, расположенного по адресу: г. Маркс, ул. Аэродромная, д. 42, кадастровый номер: 64:44:030112:1311, категория земель: земли населенных пунктов, в границах территориальной зоны Ж-1, разрешенное использование земельного участка: для хранения автотранспортных средств для личных, семейных, домашних и иных нужд, не связанных с осуществлением</w:t>
      </w:r>
      <w:proofErr w:type="gramEnd"/>
      <w:r w:rsidRPr="00C4417F">
        <w:t xml:space="preserve"> предпринимательской деятельности, площадь земельного участка 36 кв</w:t>
      </w:r>
      <w:proofErr w:type="gramStart"/>
      <w:r w:rsidRPr="00C4417F">
        <w:t>.м</w:t>
      </w:r>
      <w:proofErr w:type="gramEnd"/>
      <w:r w:rsidRPr="00C4417F">
        <w:t>, сроком на  1 (один) год 6 (шесть) месяцев, обременения: отсутствуют.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>АО «Газпром газораспределение Саратовская область» филиал в г. Марксе сообщает, что</w:t>
      </w:r>
      <w:r w:rsidR="00D27E4B">
        <w:t xml:space="preserve"> на земельный участок, расположенный </w:t>
      </w:r>
      <w:r w:rsidR="009402B3" w:rsidRPr="00427EB7">
        <w:t xml:space="preserve">по адресу: </w:t>
      </w:r>
      <w:proofErr w:type="gramStart"/>
      <w:r w:rsidR="00EB0F8D" w:rsidRPr="00C4417F">
        <w:t>Саратовская область, г.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F8405A" w:rsidRPr="00F8405A">
        <w:t>,</w:t>
      </w:r>
      <w:r w:rsidR="007843B6">
        <w:t xml:space="preserve"> площадью </w:t>
      </w:r>
      <w:r w:rsidR="00EB0F8D">
        <w:t>36</w:t>
      </w:r>
      <w:r w:rsidR="00E64D55">
        <w:t xml:space="preserve"> кв.м.,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</w:t>
      </w:r>
      <w:proofErr w:type="gramEnd"/>
      <w:r w:rsidR="009402B3" w:rsidRPr="00427EB7">
        <w:t xml:space="preserve"> максимальной технически возможной подключаемой нагрузке сети в точке подключения.</w:t>
      </w:r>
    </w:p>
    <w:p w:rsidR="00F8405A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</w:t>
      </w:r>
      <w:r w:rsidR="00266B71" w:rsidRPr="00DD7B73">
        <w:t xml:space="preserve">электроснабжение </w:t>
      </w:r>
      <w:r w:rsidR="005423F8" w:rsidRPr="00DD7B73">
        <w:t xml:space="preserve"> </w:t>
      </w:r>
      <w:r w:rsidR="00595DEE" w:rsidRPr="00DD7B73">
        <w:t>объекта капитального строительства</w:t>
      </w:r>
      <w:r w:rsidR="00595DEE">
        <w:t xml:space="preserve"> </w:t>
      </w:r>
      <w:r w:rsidRPr="00427EB7">
        <w:t xml:space="preserve">на земельном участке, расположенном по адресу: </w:t>
      </w:r>
      <w:r w:rsidR="00EB0F8D" w:rsidRPr="00C4417F">
        <w:t xml:space="preserve">Саратовская область, </w:t>
      </w:r>
      <w:proofErr w:type="gramStart"/>
      <w:r w:rsidR="00EB0F8D" w:rsidRPr="00C4417F">
        <w:t>г</w:t>
      </w:r>
      <w:proofErr w:type="gramEnd"/>
      <w:r w:rsidR="00EB0F8D" w:rsidRPr="00C4417F">
        <w:t>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F8405A" w:rsidRPr="00F8405A">
        <w:t>,</w:t>
      </w:r>
      <w:r w:rsidRPr="00427EB7">
        <w:t xml:space="preserve"> 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C50E59">
        <w:t xml:space="preserve">, ВЛИ-0,4 кВ </w:t>
      </w:r>
      <w:r w:rsidR="007843B6">
        <w:t xml:space="preserve">от </w:t>
      </w:r>
      <w:r w:rsidR="00EB0F8D">
        <w:t>КТП-72</w:t>
      </w:r>
      <w:r w:rsidR="00F8405A">
        <w:t>.</w:t>
      </w:r>
    </w:p>
    <w:p w:rsidR="00E531AB" w:rsidRDefault="00E531AB" w:rsidP="005423F8">
      <w:pPr>
        <w:ind w:firstLine="540"/>
        <w:jc w:val="both"/>
      </w:pPr>
      <w:r>
        <w:lastRenderedPageBreak/>
        <w:t xml:space="preserve">Максимальная </w:t>
      </w:r>
      <w:r w:rsidR="00EB0F8D">
        <w:t>нагрузка в точке подключения – 15</w:t>
      </w:r>
      <w:r>
        <w:t>,0 кВт.</w:t>
      </w:r>
    </w:p>
    <w:p w:rsidR="00E531AB" w:rsidRDefault="00E531AB" w:rsidP="005423F8">
      <w:pPr>
        <w:ind w:firstLine="540"/>
        <w:jc w:val="both"/>
      </w:pPr>
      <w:r>
        <w:t>Срок подключения объекта – 30 рабочих дней (при наличии технической возможности).</w:t>
      </w:r>
    </w:p>
    <w:p w:rsidR="00E531AB" w:rsidRDefault="00E531AB" w:rsidP="005423F8">
      <w:pPr>
        <w:ind w:firstLine="540"/>
        <w:jc w:val="both"/>
      </w:pPr>
      <w:r>
        <w:t>Срок действия тех</w:t>
      </w:r>
      <w:proofErr w:type="gramStart"/>
      <w:r>
        <w:t>.у</w:t>
      </w:r>
      <w:proofErr w:type="gramEnd"/>
      <w:r>
        <w:t xml:space="preserve">словий </w:t>
      </w:r>
      <w:r w:rsidR="00106D58">
        <w:t>(</w:t>
      </w:r>
      <w:r>
        <w:t>в случае оформления) – 2 года.</w:t>
      </w:r>
    </w:p>
    <w:p w:rsidR="00E531AB" w:rsidRDefault="00106D58" w:rsidP="005423F8">
      <w:pPr>
        <w:ind w:firstLine="540"/>
        <w:jc w:val="both"/>
      </w:pPr>
      <w:r>
        <w:t>В</w:t>
      </w:r>
      <w:r w:rsidR="00E531AB">
        <w:t>ся информация об оплате за технологическое присоединение по запросу в ОАО «</w:t>
      </w:r>
      <w:proofErr w:type="spellStart"/>
      <w:r w:rsidR="00E531AB">
        <w:t>Облкоммунэнерго</w:t>
      </w:r>
      <w:proofErr w:type="spellEnd"/>
      <w:r w:rsidR="00E531AB">
        <w:t>».</w:t>
      </w:r>
    </w:p>
    <w:p w:rsidR="00C50E59" w:rsidRDefault="009402B3" w:rsidP="007843B6">
      <w:pPr>
        <w:ind w:firstLine="540"/>
        <w:jc w:val="both"/>
      </w:pPr>
      <w:r w:rsidRPr="00427EB7">
        <w:t xml:space="preserve">3. </w:t>
      </w:r>
      <w:r w:rsidR="00571548">
        <w:t>ООО «Водоканал» сообща</w:t>
      </w:r>
      <w:r w:rsidR="00734E02">
        <w:t>е</w:t>
      </w:r>
      <w:r w:rsidRPr="00427EB7">
        <w:t xml:space="preserve">т, </w:t>
      </w:r>
      <w:r w:rsidR="007843B6">
        <w:t xml:space="preserve">что на земельном участке, расположенном по адресу: </w:t>
      </w:r>
      <w:r w:rsidR="00EB0F8D" w:rsidRPr="00C4417F">
        <w:t xml:space="preserve">Саратовская область, </w:t>
      </w:r>
      <w:proofErr w:type="gramStart"/>
      <w:r w:rsidR="00EB0F8D" w:rsidRPr="00C4417F">
        <w:t>г</w:t>
      </w:r>
      <w:proofErr w:type="gramEnd"/>
      <w:r w:rsidR="00EB0F8D" w:rsidRPr="00C4417F">
        <w:t>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EB0F8D">
        <w:t xml:space="preserve">, </w:t>
      </w:r>
      <w:r w:rsidR="007843B6">
        <w:t>канализационные сети отсутствуют.</w:t>
      </w:r>
    </w:p>
    <w:p w:rsidR="00E21B0C" w:rsidRDefault="00734E02" w:rsidP="00E21B0C">
      <w:pPr>
        <w:ind w:firstLine="540"/>
        <w:jc w:val="both"/>
      </w:pPr>
      <w:r>
        <w:t xml:space="preserve">  4. </w:t>
      </w:r>
      <w:r w:rsidR="008843ED">
        <w:t>ООО «Водоканал</w:t>
      </w:r>
      <w:r w:rsidR="007843B6">
        <w:t>-плюс</w:t>
      </w:r>
      <w:r w:rsidR="008843ED">
        <w:t xml:space="preserve">» </w:t>
      </w:r>
      <w:r w:rsidR="00E21B0C">
        <w:t xml:space="preserve">сообщает, что водоснабжение на земельном участке, расположенном по адресу: </w:t>
      </w:r>
      <w:r w:rsidR="00E21B0C" w:rsidRPr="00C4417F">
        <w:t xml:space="preserve">Саратовская область, </w:t>
      </w:r>
      <w:proofErr w:type="gramStart"/>
      <w:r w:rsidR="00E21B0C" w:rsidRPr="00C4417F">
        <w:t>г</w:t>
      </w:r>
      <w:proofErr w:type="gramEnd"/>
      <w:r w:rsidR="00E21B0C" w:rsidRPr="00C4417F">
        <w:t>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E21B0C">
        <w:t xml:space="preserve">  будет снабжаться водой с улицы </w:t>
      </w:r>
      <w:proofErr w:type="spellStart"/>
      <w:r w:rsidR="00E21B0C">
        <w:t>Чагина</w:t>
      </w:r>
      <w:proofErr w:type="spellEnd"/>
      <w:r w:rsidR="00E21B0C">
        <w:t>.</w:t>
      </w:r>
    </w:p>
    <w:p w:rsidR="00E21B0C" w:rsidRDefault="00E21B0C" w:rsidP="00E21B0C">
      <w:pPr>
        <w:ind w:firstLine="540"/>
        <w:jc w:val="both"/>
      </w:pPr>
      <w:r>
        <w:t>Место подключения к водопроводной сети: проектируемый колодец.</w:t>
      </w:r>
    </w:p>
    <w:p w:rsidR="00E21B0C" w:rsidRDefault="00E21B0C" w:rsidP="00E21B0C">
      <w:pPr>
        <w:ind w:firstLine="540"/>
        <w:jc w:val="both"/>
      </w:pPr>
      <w:r>
        <w:t>Водопроводная сеть: тупиковая, кольцевая.</w:t>
      </w:r>
    </w:p>
    <w:p w:rsidR="00E21B0C" w:rsidRDefault="00E21B0C" w:rsidP="00E21B0C">
      <w:pPr>
        <w:ind w:firstLine="540"/>
        <w:jc w:val="both"/>
      </w:pPr>
      <w:r>
        <w:t>Диаметр водопроводной сети: 63  мм.</w:t>
      </w:r>
    </w:p>
    <w:p w:rsidR="00E21B0C" w:rsidRDefault="00E21B0C" w:rsidP="00E21B0C">
      <w:pPr>
        <w:ind w:firstLine="540"/>
        <w:jc w:val="both"/>
      </w:pPr>
      <w:r>
        <w:t>Располагаемый напор в точке подключения: h-15.</w:t>
      </w:r>
    </w:p>
    <w:p w:rsidR="00E21B0C" w:rsidRDefault="00E21B0C" w:rsidP="00E21B0C">
      <w:pPr>
        <w:ind w:firstLine="540"/>
        <w:jc w:val="both"/>
      </w:pPr>
      <w:r>
        <w:t>Глубина заложения водопроводной сети: 2,0 м.</w:t>
      </w:r>
    </w:p>
    <w:p w:rsidR="00E21B0C" w:rsidRDefault="00E21B0C" w:rsidP="00E21B0C">
      <w:pPr>
        <w:ind w:firstLine="540"/>
        <w:jc w:val="both"/>
      </w:pPr>
      <w:r>
        <w:t>Материал труб существующей сети: полиэтилен.</w:t>
      </w:r>
    </w:p>
    <w:p w:rsidR="00E21B0C" w:rsidRDefault="00E21B0C" w:rsidP="00E21B0C">
      <w:pPr>
        <w:ind w:firstLine="540"/>
        <w:jc w:val="both"/>
      </w:pPr>
      <w:r>
        <w:t>Максимальное давление в точке присоединения – 3,4 кгс/см</w:t>
      </w:r>
      <w:proofErr w:type="gramStart"/>
      <w:r>
        <w:rPr>
          <w:vertAlign w:val="superscript"/>
        </w:rPr>
        <w:t>2</w:t>
      </w:r>
      <w:proofErr w:type="gramEnd"/>
    </w:p>
    <w:p w:rsidR="00E21B0C" w:rsidRDefault="00E21B0C" w:rsidP="00E21B0C">
      <w:pPr>
        <w:ind w:firstLine="540"/>
        <w:jc w:val="both"/>
      </w:pPr>
      <w:r>
        <w:t>Основное условие на подключение:</w:t>
      </w:r>
    </w:p>
    <w:p w:rsidR="00E21B0C" w:rsidRDefault="00E21B0C" w:rsidP="00E21B0C">
      <w:pPr>
        <w:ind w:firstLine="540"/>
        <w:jc w:val="both"/>
      </w:pPr>
      <w:r>
        <w:t>а) установить на границе эксплуатационной ответственности прибор учета водопотребления (</w:t>
      </w:r>
      <w:proofErr w:type="spellStart"/>
      <w:r>
        <w:t>водосчетчик</w:t>
      </w:r>
      <w:proofErr w:type="spellEnd"/>
      <w:r>
        <w:t>) СГВ-15 или СХВ-15 с антимагнитной защитой. Границей эксплуатационной ответственности является колодец на врезке в магистральную сеть;</w:t>
      </w:r>
    </w:p>
    <w:p w:rsidR="00E21B0C" w:rsidRDefault="00E21B0C" w:rsidP="00E21B0C">
      <w:pPr>
        <w:ind w:firstLine="540"/>
        <w:jc w:val="both"/>
      </w:pPr>
      <w:r>
        <w:t>б) после выполнения земляных работ заказчик, за счет собственных средств, производит благоустройство территории и при необходимости восстанавливает асфальтное покрытие.</w:t>
      </w:r>
    </w:p>
    <w:p w:rsidR="00E21B0C" w:rsidRDefault="00E21B0C" w:rsidP="00E21B0C">
      <w:pPr>
        <w:ind w:firstLine="540"/>
        <w:jc w:val="both"/>
      </w:pPr>
      <w:r>
        <w:t>Срок действия технических условий -2 года с момента выдачи.</w:t>
      </w:r>
    </w:p>
    <w:p w:rsidR="002F35E5" w:rsidRDefault="00734E02" w:rsidP="00E21B0C">
      <w:pPr>
        <w:ind w:firstLine="540"/>
        <w:jc w:val="both"/>
      </w:pPr>
      <w:r>
        <w:t>5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proofErr w:type="gramStart"/>
      <w:r w:rsidR="00EB0F8D" w:rsidRPr="00C4417F">
        <w:t>Саратовская область, г.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EB0F8D">
        <w:t>, площадью 36</w:t>
      </w:r>
      <w:r w:rsidR="007843B6">
        <w:t xml:space="preserve"> кв.м.</w:t>
      </w:r>
      <w:r>
        <w:t xml:space="preserve"> линии связи ПАО «</w:t>
      </w:r>
      <w:proofErr w:type="spellStart"/>
      <w:r>
        <w:t>Ростелеком</w:t>
      </w:r>
      <w:proofErr w:type="spellEnd"/>
      <w:r>
        <w:t>» отсутствуют.</w:t>
      </w:r>
      <w:proofErr w:type="gramEnd"/>
    </w:p>
    <w:p w:rsidR="00F8405A" w:rsidRDefault="00734E02" w:rsidP="00F8405A">
      <w:pPr>
        <w:jc w:val="both"/>
      </w:pPr>
      <w:r>
        <w:tab/>
      </w:r>
      <w:r w:rsidR="00F8405A">
        <w:rPr>
          <w:color w:val="000000"/>
        </w:rPr>
        <w:t>5. МУП «Тепло» сообщает, что</w:t>
      </w:r>
      <w:r w:rsidR="00F8405A">
        <w:t xml:space="preserve"> на земельном участке, находящемся по адресу:</w:t>
      </w:r>
      <w:r w:rsidR="00F8405A" w:rsidRPr="009A012C">
        <w:t xml:space="preserve"> </w:t>
      </w:r>
      <w:r w:rsidR="00EB0F8D" w:rsidRPr="00C4417F">
        <w:t xml:space="preserve">Саратовская область, </w:t>
      </w:r>
      <w:proofErr w:type="gramStart"/>
      <w:r w:rsidR="00EB0F8D" w:rsidRPr="00C4417F">
        <w:t>г</w:t>
      </w:r>
      <w:proofErr w:type="gramEnd"/>
      <w:r w:rsidR="00EB0F8D" w:rsidRPr="00C4417F">
        <w:t>. Маркс, примерно в 11 м по направлению на юго-восток от жилого многоквартирного дома, расположенного по адресу: г. Маркс, ул. Аэродромная, д. 42</w:t>
      </w:r>
      <w:r w:rsidR="00F8405A">
        <w:t>, не имеет сетей теплоснабжения.</w:t>
      </w:r>
    </w:p>
    <w:p w:rsidR="00E21B0C" w:rsidRPr="004F0E90" w:rsidRDefault="00E21B0C" w:rsidP="00E21B0C">
      <w:pPr>
        <w:pStyle w:val="af0"/>
        <w:spacing w:before="0" w:line="240" w:lineRule="exact"/>
        <w:rPr>
          <w:rFonts w:ascii="Times New Roman" w:hAnsi="Times New Roman"/>
        </w:rPr>
      </w:pPr>
      <w:r w:rsidRPr="004F0E90">
        <w:rPr>
          <w:rFonts w:ascii="Times New Roman" w:hAnsi="Times New Roman"/>
          <w:bCs/>
        </w:rPr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</w:t>
      </w:r>
      <w:r w:rsidRPr="004F0E90">
        <w:rPr>
          <w:rFonts w:ascii="Times New Roman" w:hAnsi="Times New Roman"/>
          <w:bCs/>
        </w:rPr>
        <w:lastRenderedPageBreak/>
        <w:t xml:space="preserve">образования город Маркс Марксовского муниципального района Саратовской области от 29.03.2013 г. № 437 (с изменениями и дополнениями) земельный участок с кадастровым номером: </w:t>
      </w:r>
      <w:r w:rsidRPr="004F0E90">
        <w:rPr>
          <w:rFonts w:ascii="Times New Roman" w:hAnsi="Times New Roman"/>
        </w:rPr>
        <w:t>64:44</w:t>
      </w:r>
      <w:r>
        <w:rPr>
          <w:rFonts w:ascii="Times New Roman" w:hAnsi="Times New Roman"/>
        </w:rPr>
        <w:t>:030112:1311</w:t>
      </w:r>
      <w:r w:rsidRPr="004F0E90">
        <w:rPr>
          <w:rFonts w:ascii="Times New Roman" w:hAnsi="Times New Roman"/>
        </w:rPr>
        <w:t xml:space="preserve"> </w:t>
      </w:r>
      <w:r w:rsidRPr="004F0E90">
        <w:rPr>
          <w:rFonts w:ascii="Times New Roman" w:hAnsi="Times New Roman"/>
          <w:bCs/>
        </w:rPr>
        <w:t>находится в территориальной зоне Ж-1.</w:t>
      </w:r>
      <w:r w:rsidRPr="004F0E90">
        <w:rPr>
          <w:bCs/>
        </w:rPr>
        <w:t xml:space="preserve"> </w:t>
      </w:r>
      <w:r w:rsidRPr="004F0E90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максимальный размер земельного участка 1000 кв.м. (для земельных участков, предназначенных для размещения объектов индивидуального жилищного строительства);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минимальный размер земельного участка 200 кв</w:t>
      </w:r>
      <w:proofErr w:type="gramStart"/>
      <w:r w:rsidRPr="004F0E90">
        <w:rPr>
          <w:rFonts w:ascii="Times New Roman" w:hAnsi="Times New Roman"/>
        </w:rPr>
        <w:t>.м</w:t>
      </w:r>
      <w:proofErr w:type="gramEnd"/>
      <w:r w:rsidRPr="004F0E90">
        <w:rPr>
          <w:rFonts w:ascii="Times New Roman" w:hAnsi="Times New Roman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максимальное количество этажей: 3;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максимальная высота здания: 14 метров (кроме культовых зданий и сооружений);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максимальная высота ограждения между соседними земельными участками: 1,8 метра;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максимальная высота ограждения между земельными участками и территориями общего пользования: 2 метра;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>- максимальный процент застройки: 60 процентов;</w:t>
      </w:r>
    </w:p>
    <w:p w:rsidR="00E21B0C" w:rsidRPr="004F0E90" w:rsidRDefault="00E21B0C" w:rsidP="00E21B0C">
      <w:pPr>
        <w:pStyle w:val="af0"/>
        <w:spacing w:before="0" w:line="240" w:lineRule="exact"/>
        <w:ind w:firstLine="0"/>
        <w:rPr>
          <w:rFonts w:ascii="Times New Roman" w:hAnsi="Times New Roman"/>
        </w:rPr>
      </w:pPr>
      <w:r w:rsidRPr="004F0E90">
        <w:rPr>
          <w:rFonts w:ascii="Times New Roman" w:hAnsi="Times New Roman"/>
        </w:rPr>
        <w:t xml:space="preserve">- минимальный отступ от объектов капитального строительства до красной линии магистрали: 6 м, межквартального проезда (жилой улицы): 3м в районах нового строительства, на застроенной территории принимаются исторически сложившиеся отступы; </w:t>
      </w:r>
    </w:p>
    <w:p w:rsidR="00E21B0C" w:rsidRPr="004F0E90" w:rsidRDefault="00E21B0C" w:rsidP="00E21B0C">
      <w:pPr>
        <w:pStyle w:val="af0"/>
        <w:spacing w:before="0" w:line="240" w:lineRule="exact"/>
        <w:rPr>
          <w:rFonts w:ascii="Times New Roman" w:hAnsi="Times New Roman"/>
        </w:rPr>
      </w:pPr>
      <w:r w:rsidRPr="004F0E90">
        <w:rPr>
          <w:rFonts w:ascii="Times New Roman" w:hAnsi="Times New Roman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51283" w:rsidRPr="00427EB7" w:rsidRDefault="00D27E4B" w:rsidP="00F8405A">
      <w:pPr>
        <w:jc w:val="both"/>
        <w:rPr>
          <w:b/>
        </w:rPr>
      </w:pPr>
      <w:r>
        <w:rPr>
          <w:b/>
        </w:rPr>
        <w:tab/>
      </w:r>
      <w:r w:rsidR="00851283"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="00851283" w:rsidRPr="00427EB7">
        <w:rPr>
          <w:b/>
        </w:rPr>
        <w:t xml:space="preserve"> составляет:</w:t>
      </w:r>
    </w:p>
    <w:p w:rsidR="00F8405A" w:rsidRPr="00F8405A" w:rsidRDefault="00F8405A" w:rsidP="00F8405A">
      <w:pPr>
        <w:ind w:firstLine="540"/>
        <w:jc w:val="both"/>
      </w:pPr>
      <w:r w:rsidRPr="00F8405A">
        <w:t xml:space="preserve">ЛОТ № 1: </w:t>
      </w:r>
      <w:r w:rsidR="00B77E15">
        <w:t>960</w:t>
      </w:r>
      <w:r w:rsidRPr="00F8405A">
        <w:t xml:space="preserve"> (</w:t>
      </w:r>
      <w:r w:rsidR="00B77E15">
        <w:t>девятьсот шестьдесят) рублей 30 копеек, что составляет 20</w:t>
      </w:r>
      <w:r w:rsidRPr="00F8405A">
        <w:t xml:space="preserve"> %  от кадастровой стоимости земельного участка.</w:t>
      </w:r>
    </w:p>
    <w:p w:rsidR="00851283" w:rsidRPr="00427EB7" w:rsidRDefault="00851283" w:rsidP="005348C8">
      <w:pPr>
        <w:ind w:firstLine="540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="00851283" w:rsidRPr="00427EB7">
        <w:t xml:space="preserve">.00 по местному времени  </w:t>
      </w:r>
      <w:r w:rsidR="000D3BB4" w:rsidRPr="00427EB7">
        <w:rPr>
          <w:b/>
        </w:rPr>
        <w:t>«</w:t>
      </w:r>
      <w:r w:rsidR="00B77E15">
        <w:rPr>
          <w:b/>
        </w:rPr>
        <w:t>21</w:t>
      </w:r>
      <w:r w:rsidR="000D3BB4" w:rsidRPr="00427EB7">
        <w:rPr>
          <w:b/>
        </w:rPr>
        <w:t xml:space="preserve">» </w:t>
      </w:r>
      <w:r w:rsidR="00B77E15">
        <w:rPr>
          <w:b/>
        </w:rPr>
        <w:t>сентября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1757C8">
        <w:rPr>
          <w:b/>
        </w:rPr>
        <w:t>7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B77E15">
        <w:rPr>
          <w:b/>
        </w:rPr>
        <w:t>22</w:t>
      </w:r>
      <w:r w:rsidR="005348C8" w:rsidRPr="00427EB7">
        <w:rPr>
          <w:b/>
        </w:rPr>
        <w:t xml:space="preserve">» </w:t>
      </w:r>
      <w:r w:rsidR="00B77E15">
        <w:rPr>
          <w:b/>
        </w:rPr>
        <w:t>сентября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1757C8">
        <w:rPr>
          <w:b/>
        </w:rPr>
        <w:t>7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B77E15">
        <w:rPr>
          <w:b/>
        </w:rPr>
        <w:t>25</w:t>
      </w:r>
      <w:r w:rsidR="000E4794" w:rsidRPr="00427EB7">
        <w:rPr>
          <w:b/>
        </w:rPr>
        <w:t xml:space="preserve">» </w:t>
      </w:r>
      <w:r w:rsidR="00B77E15">
        <w:rPr>
          <w:b/>
        </w:rPr>
        <w:t>сентября</w:t>
      </w:r>
      <w:r w:rsidR="0097018D" w:rsidRPr="00427EB7">
        <w:rPr>
          <w:b/>
        </w:rPr>
        <w:t xml:space="preserve"> 201</w:t>
      </w:r>
      <w:r w:rsidR="001757C8">
        <w:rPr>
          <w:b/>
        </w:rPr>
        <w:t>7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5C4CB6">
      <w:pPr>
        <w:ind w:firstLine="540"/>
        <w:jc w:val="both"/>
      </w:pPr>
      <w:r w:rsidRPr="00F8405A">
        <w:t xml:space="preserve">ЛОТ № 1: </w:t>
      </w:r>
      <w:r w:rsidR="00260A4B">
        <w:t>576</w:t>
      </w:r>
      <w:r w:rsidRPr="00F8405A">
        <w:t xml:space="preserve"> </w:t>
      </w:r>
      <w:r w:rsidR="00260A4B">
        <w:t>(пятьсот семьдесят шесть) рублей 18</w:t>
      </w:r>
      <w:r w:rsidRPr="00F8405A">
        <w:t xml:space="preserve"> копеек</w:t>
      </w:r>
      <w:r>
        <w:t>.</w:t>
      </w:r>
    </w:p>
    <w:p w:rsidR="00260A4B" w:rsidRPr="004F0E90" w:rsidRDefault="00260A4B" w:rsidP="00260A4B">
      <w:pPr>
        <w:spacing w:line="240" w:lineRule="exact"/>
        <w:ind w:firstLine="720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>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>
        <w:rPr>
          <w:iCs/>
        </w:rPr>
        <w:t>с 003010015 задаток за лот № 1.</w:t>
      </w:r>
    </w:p>
    <w:p w:rsidR="00260A4B" w:rsidRPr="004F0E90" w:rsidRDefault="00260A4B" w:rsidP="00260A4B">
      <w:pPr>
        <w:spacing w:line="240" w:lineRule="exact"/>
        <w:jc w:val="both"/>
        <w:rPr>
          <w:lang w:eastAsia="ru-RU"/>
        </w:rPr>
      </w:pPr>
      <w:r w:rsidRPr="004F0E90">
        <w:rPr>
          <w:lang w:eastAsia="ru-RU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7D424B">
      <w:pPr>
        <w:ind w:firstLine="540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260A4B">
        <w:rPr>
          <w:b/>
        </w:rPr>
        <w:t>22</w:t>
      </w:r>
      <w:r w:rsidRPr="00427EB7">
        <w:rPr>
          <w:b/>
        </w:rPr>
        <w:t xml:space="preserve">» </w:t>
      </w:r>
      <w:r w:rsidR="00260A4B">
        <w:rPr>
          <w:b/>
        </w:rPr>
        <w:t>сентября</w:t>
      </w:r>
      <w:r>
        <w:rPr>
          <w:b/>
        </w:rPr>
        <w:t xml:space="preserve"> </w:t>
      </w:r>
      <w:r w:rsidRPr="00427EB7">
        <w:rPr>
          <w:b/>
        </w:rPr>
        <w:t>201</w:t>
      </w:r>
      <w:r>
        <w:rPr>
          <w:b/>
        </w:rPr>
        <w:t>7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lastRenderedPageBreak/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</w:p>
    <w:p w:rsidR="003851E8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lastRenderedPageBreak/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5C4CB6" w:rsidRDefault="005C4CB6" w:rsidP="005C4CB6">
      <w:pPr>
        <w:spacing w:line="240" w:lineRule="exact"/>
        <w:jc w:val="center"/>
      </w:pPr>
      <w:r>
        <w:t xml:space="preserve">     </w:t>
      </w:r>
      <w:r w:rsidR="001757C8" w:rsidRPr="005C4CB6">
        <w:t xml:space="preserve">  </w:t>
      </w:r>
      <w:r w:rsidRPr="005C4CB6">
        <w:t>ФОРМА ЗАЯВКИ</w:t>
      </w:r>
    </w:p>
    <w:p w:rsidR="005C4CB6" w:rsidRPr="005C4CB6" w:rsidRDefault="005C4CB6" w:rsidP="005C4CB6">
      <w:pPr>
        <w:pStyle w:val="22"/>
        <w:spacing w:line="240" w:lineRule="exact"/>
      </w:pPr>
      <w:r w:rsidRPr="005C4CB6"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Марксовского</w:t>
      </w: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5C4CB6" w:rsidRDefault="005C4CB6" w:rsidP="005C4CB6">
      <w:pPr>
        <w:ind w:right="-284"/>
        <w:jc w:val="center"/>
      </w:pPr>
      <w:r w:rsidRPr="005C4CB6"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lastRenderedPageBreak/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Марксовского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>. №___________,  в информационном сообщении, размещенном на официальном сайте Марксовского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D873F0" w:rsidP="00260CA4">
      <w:pPr>
        <w:jc w:val="center"/>
      </w:pPr>
      <w:r w:rsidRPr="00347156">
        <w:tab/>
      </w:r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54A20"/>
    <w:rsid w:val="00171582"/>
    <w:rsid w:val="001757C8"/>
    <w:rsid w:val="0018595A"/>
    <w:rsid w:val="00191527"/>
    <w:rsid w:val="001B66A5"/>
    <w:rsid w:val="001C3A15"/>
    <w:rsid w:val="001C642D"/>
    <w:rsid w:val="001D6CD5"/>
    <w:rsid w:val="001E0298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071E"/>
    <w:rsid w:val="004E2CD9"/>
    <w:rsid w:val="004E5F11"/>
    <w:rsid w:val="004F7DE2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20EAC"/>
    <w:rsid w:val="006462DA"/>
    <w:rsid w:val="00646ACF"/>
    <w:rsid w:val="006608F8"/>
    <w:rsid w:val="00663BE5"/>
    <w:rsid w:val="00674CCE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B30CA"/>
    <w:rsid w:val="007C4242"/>
    <w:rsid w:val="007D424B"/>
    <w:rsid w:val="007D4E0F"/>
    <w:rsid w:val="007E05FE"/>
    <w:rsid w:val="007E6817"/>
    <w:rsid w:val="007F7C91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77E15"/>
    <w:rsid w:val="00B83A28"/>
    <w:rsid w:val="00B8451C"/>
    <w:rsid w:val="00B87656"/>
    <w:rsid w:val="00B9118D"/>
    <w:rsid w:val="00BA1260"/>
    <w:rsid w:val="00BB49BB"/>
    <w:rsid w:val="00BD3A8C"/>
    <w:rsid w:val="00BF04A6"/>
    <w:rsid w:val="00BF0D92"/>
    <w:rsid w:val="00BF3D27"/>
    <w:rsid w:val="00C0024D"/>
    <w:rsid w:val="00C201BA"/>
    <w:rsid w:val="00C24C8D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27E4B"/>
    <w:rsid w:val="00D42E7B"/>
    <w:rsid w:val="00D577FA"/>
    <w:rsid w:val="00D63E49"/>
    <w:rsid w:val="00D75103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5650"/>
    <w:rsid w:val="00DF6308"/>
    <w:rsid w:val="00E21B0C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4D55"/>
    <w:rsid w:val="00E66506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D20A7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25F1E"/>
    <w:rsid w:val="00F36B27"/>
    <w:rsid w:val="00F469A9"/>
    <w:rsid w:val="00F507AC"/>
    <w:rsid w:val="00F63407"/>
    <w:rsid w:val="00F723E1"/>
    <w:rsid w:val="00F771D9"/>
    <w:rsid w:val="00F8405A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creator>urist</dc:creator>
  <cp:lastModifiedBy>Шамина</cp:lastModifiedBy>
  <cp:revision>4</cp:revision>
  <cp:lastPrinted>2017-08-18T08:50:00Z</cp:lastPrinted>
  <dcterms:created xsi:type="dcterms:W3CDTF">2017-08-23T07:31:00Z</dcterms:created>
  <dcterms:modified xsi:type="dcterms:W3CDTF">2017-08-23T07:37:00Z</dcterms:modified>
</cp:coreProperties>
</file>