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  <w:r w:rsidRPr="00B61B2C">
        <w:rPr>
          <w:sz w:val="28"/>
          <w:szCs w:val="28"/>
        </w:rPr>
        <w:t>ИЗВЕЩЕНИЕ</w:t>
      </w:r>
    </w:p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  <w:r w:rsidRPr="00B61B2C"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:rsidR="00BC1995" w:rsidRPr="00B61B2C" w:rsidRDefault="00BC1995" w:rsidP="00BC1995">
      <w:pPr>
        <w:rPr>
          <w:b/>
          <w:sz w:val="28"/>
          <w:szCs w:val="28"/>
        </w:rPr>
      </w:pPr>
    </w:p>
    <w:p w:rsidR="00BC1995" w:rsidRPr="00B61B2C" w:rsidRDefault="00BC1995" w:rsidP="00BC1995">
      <w:pPr>
        <w:ind w:firstLine="708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Администрация Марксовского муниципального района Саратовской области (организатор конкурса) сообщает о проведении открытого конкурса по отбору управляющей организации для управления  многоквартирными домами, расположенными на территории Марксовского муниципального района, способ управления которыми собственниками помещений в соответствии с действующим законодательством не выбран, либо избранный собственниками помещений способ управления многоквартирным домом не реализован.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Основание проведения открытого конкурса:</w:t>
      </w:r>
    </w:p>
    <w:p w:rsidR="00BC1995" w:rsidRPr="00B61B2C" w:rsidRDefault="00BC1995" w:rsidP="00BC1995">
      <w:pPr>
        <w:ind w:left="57"/>
        <w:jc w:val="both"/>
        <w:rPr>
          <w:sz w:val="28"/>
          <w:szCs w:val="28"/>
        </w:rPr>
      </w:pPr>
      <w:r w:rsidRPr="00B61B2C">
        <w:rPr>
          <w:sz w:val="28"/>
          <w:szCs w:val="28"/>
        </w:rPr>
        <w:t xml:space="preserve">собственники помещений в многоквартирном доме, право на управление общим имуществом которого является предметом конкурса, не избрали в соответствии со ст. 161 Жилищного кодекса Российской Федерации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  <w:proofErr w:type="gramStart"/>
      <w:r w:rsidRPr="00B61B2C">
        <w:rPr>
          <w:sz w:val="28"/>
          <w:szCs w:val="28"/>
        </w:rPr>
        <w:t>Конкурс проводится на основании Постановления Правительства Российской Федерации от 6 февраля 2006 г.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администрации Марксовского муниципального района Саратовской области от 5 октября 2011 года № 2470-н «О создании постоянно действующей конкурсной комиссии для проведения открытого конкурса по отбору управляющей организации для управления</w:t>
      </w:r>
      <w:proofErr w:type="gramEnd"/>
      <w:r w:rsidRPr="00B61B2C">
        <w:rPr>
          <w:sz w:val="28"/>
          <w:szCs w:val="28"/>
        </w:rPr>
        <w:t xml:space="preserve"> многоквартирным домом»  (с изменениями от 10 сентября 2012 года № 2517-н, от 25 сентября 2013 года № 2559-н, от 4 сентября 2015 г. № 1527-н, от 25 января 2017 г. № 84-н, от 24 ноября 2017 года № 2136-н, от 9 июня 2018 года № 935-н, от 31 января 2019 года № 167-н, от 22 июня 2021 года № 1086-н</w:t>
      </w:r>
      <w:proofErr w:type="gramStart"/>
      <w:r w:rsidRPr="00B61B2C">
        <w:rPr>
          <w:sz w:val="28"/>
          <w:szCs w:val="28"/>
        </w:rPr>
        <w:t>,о</w:t>
      </w:r>
      <w:proofErr w:type="gramEnd"/>
      <w:r w:rsidRPr="00B61B2C">
        <w:rPr>
          <w:sz w:val="28"/>
          <w:szCs w:val="28"/>
        </w:rPr>
        <w:t>т 15 июня 2023 года № 1000-н).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Организатор конкурса</w:t>
      </w:r>
      <w:r w:rsidRPr="00B61B2C">
        <w:rPr>
          <w:b/>
          <w:sz w:val="28"/>
          <w:szCs w:val="28"/>
        </w:rPr>
        <w:t xml:space="preserve"> – </w:t>
      </w:r>
      <w:r w:rsidRPr="00B61B2C">
        <w:rPr>
          <w:sz w:val="28"/>
          <w:szCs w:val="28"/>
        </w:rPr>
        <w:t>Администрация Марксовского муниципального района Саратовской области.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  <w:u w:val="single"/>
        </w:rPr>
      </w:pPr>
      <w:r w:rsidRPr="00B61B2C">
        <w:rPr>
          <w:sz w:val="28"/>
          <w:szCs w:val="28"/>
        </w:rPr>
        <w:t xml:space="preserve">Адрес электронной почты: </w:t>
      </w:r>
      <w:proofErr w:type="spellStart"/>
      <w:r w:rsidRPr="00B61B2C">
        <w:rPr>
          <w:sz w:val="28"/>
          <w:szCs w:val="28"/>
          <w:lang w:val="en-US"/>
        </w:rPr>
        <w:t>marksadm</w:t>
      </w:r>
      <w:proofErr w:type="spellEnd"/>
      <w:r w:rsidRPr="00B61B2C">
        <w:rPr>
          <w:sz w:val="28"/>
          <w:szCs w:val="28"/>
        </w:rPr>
        <w:t>@</w:t>
      </w:r>
      <w:r w:rsidRPr="00B61B2C">
        <w:rPr>
          <w:sz w:val="28"/>
          <w:szCs w:val="28"/>
          <w:lang w:val="en-US"/>
        </w:rPr>
        <w:t>mail</w:t>
      </w:r>
      <w:r w:rsidRPr="00B61B2C">
        <w:rPr>
          <w:sz w:val="28"/>
          <w:szCs w:val="28"/>
        </w:rPr>
        <w:t>.</w:t>
      </w:r>
      <w:r w:rsidRPr="00B61B2C">
        <w:rPr>
          <w:sz w:val="28"/>
          <w:szCs w:val="28"/>
          <w:lang w:val="en-US"/>
        </w:rPr>
        <w:t>ru</w:t>
      </w:r>
    </w:p>
    <w:p w:rsidR="00BC1995" w:rsidRPr="00B61B2C" w:rsidRDefault="00BC1995" w:rsidP="00BC1995">
      <w:pPr>
        <w:ind w:left="57"/>
        <w:jc w:val="both"/>
        <w:rPr>
          <w:sz w:val="28"/>
          <w:szCs w:val="28"/>
        </w:rPr>
      </w:pPr>
      <w:r w:rsidRPr="00B61B2C">
        <w:rPr>
          <w:sz w:val="28"/>
          <w:szCs w:val="28"/>
        </w:rPr>
        <w:t xml:space="preserve">Почтовый адрес и адрес местонахождения: </w:t>
      </w:r>
    </w:p>
    <w:p w:rsidR="00BC1995" w:rsidRPr="00B61B2C" w:rsidRDefault="00BC1995" w:rsidP="00BC1995">
      <w:pPr>
        <w:ind w:left="57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413090,</w:t>
      </w:r>
      <w:r w:rsidRPr="00B61B2C">
        <w:rPr>
          <w:b/>
          <w:sz w:val="28"/>
          <w:szCs w:val="28"/>
        </w:rPr>
        <w:t xml:space="preserve"> </w:t>
      </w:r>
      <w:proofErr w:type="gramStart"/>
      <w:r w:rsidRPr="00B61B2C">
        <w:rPr>
          <w:sz w:val="28"/>
          <w:szCs w:val="28"/>
        </w:rPr>
        <w:t>Саратовская</w:t>
      </w:r>
      <w:proofErr w:type="gramEnd"/>
      <w:r w:rsidRPr="00B61B2C">
        <w:rPr>
          <w:sz w:val="28"/>
          <w:szCs w:val="28"/>
        </w:rPr>
        <w:t xml:space="preserve"> обл., г. Маркс, пр. Ленина, д. 20, каб. 22.</w:t>
      </w:r>
    </w:p>
    <w:p w:rsidR="00BC1995" w:rsidRPr="00B61B2C" w:rsidRDefault="00BC1995" w:rsidP="00BC1995">
      <w:pPr>
        <w:ind w:left="57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Контактные лица и телефоны:</w:t>
      </w:r>
    </w:p>
    <w:p w:rsidR="00BC1995" w:rsidRPr="00B61B2C" w:rsidRDefault="00BC1995" w:rsidP="00BC1995">
      <w:pPr>
        <w:ind w:left="57" w:firstLine="85"/>
        <w:jc w:val="both"/>
        <w:rPr>
          <w:sz w:val="28"/>
          <w:szCs w:val="28"/>
        </w:rPr>
      </w:pP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Шевела Вячеслав Владимирович, (84567) 5-16-06;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Захарова Елизавета Алексеевна, (84567) 5-10-33.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</w:p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  <w:r w:rsidRPr="00B61B2C">
        <w:rPr>
          <w:sz w:val="28"/>
          <w:szCs w:val="28"/>
        </w:rPr>
        <w:t xml:space="preserve">Размещение конкурсной документации </w:t>
      </w:r>
    </w:p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  <w:r w:rsidRPr="00B61B2C">
        <w:rPr>
          <w:sz w:val="28"/>
          <w:szCs w:val="28"/>
        </w:rPr>
        <w:t>и порядок её предоставления</w:t>
      </w:r>
    </w:p>
    <w:p w:rsidR="00BC1995" w:rsidRPr="00B61B2C" w:rsidRDefault="00BC1995" w:rsidP="00BC1995">
      <w:pPr>
        <w:ind w:left="57" w:firstLine="709"/>
        <w:jc w:val="center"/>
        <w:rPr>
          <w:b/>
          <w:sz w:val="28"/>
          <w:szCs w:val="28"/>
        </w:rPr>
      </w:pPr>
    </w:p>
    <w:p w:rsidR="00BC1995" w:rsidRPr="00B61B2C" w:rsidRDefault="00BC1995" w:rsidP="00BC1995">
      <w:pPr>
        <w:ind w:left="57" w:firstLine="709"/>
        <w:jc w:val="both"/>
        <w:rPr>
          <w:b/>
          <w:sz w:val="28"/>
          <w:szCs w:val="28"/>
        </w:rPr>
      </w:pPr>
      <w:r w:rsidRPr="00B61B2C">
        <w:rPr>
          <w:sz w:val="28"/>
          <w:szCs w:val="28"/>
        </w:rPr>
        <w:lastRenderedPageBreak/>
        <w:t xml:space="preserve">Конкурсная документация размещена организатором конкурса на сайте: </w:t>
      </w:r>
      <w:r w:rsidRPr="00B61B2C">
        <w:rPr>
          <w:sz w:val="28"/>
          <w:szCs w:val="28"/>
          <w:lang w:val="en-US"/>
        </w:rPr>
        <w:t>www</w:t>
      </w:r>
      <w:r w:rsidRPr="00B61B2C">
        <w:rPr>
          <w:sz w:val="28"/>
          <w:szCs w:val="28"/>
        </w:rPr>
        <w:t>.</w:t>
      </w:r>
      <w:proofErr w:type="spellStart"/>
      <w:r w:rsidRPr="00B61B2C">
        <w:rPr>
          <w:sz w:val="28"/>
          <w:szCs w:val="28"/>
          <w:lang w:val="en-US"/>
        </w:rPr>
        <w:t>torgi</w:t>
      </w:r>
      <w:proofErr w:type="spellEnd"/>
      <w:r w:rsidRPr="00B61B2C">
        <w:rPr>
          <w:sz w:val="28"/>
          <w:szCs w:val="28"/>
        </w:rPr>
        <w:t>.</w:t>
      </w:r>
      <w:proofErr w:type="spellStart"/>
      <w:r w:rsidRPr="00B61B2C">
        <w:rPr>
          <w:sz w:val="28"/>
          <w:szCs w:val="28"/>
          <w:lang w:val="en-US"/>
        </w:rPr>
        <w:t>gov</w:t>
      </w:r>
      <w:proofErr w:type="spellEnd"/>
      <w:r w:rsidRPr="00B61B2C">
        <w:rPr>
          <w:sz w:val="28"/>
          <w:szCs w:val="28"/>
        </w:rPr>
        <w:t>.</w:t>
      </w:r>
      <w:r w:rsidRPr="00B61B2C">
        <w:rPr>
          <w:sz w:val="28"/>
          <w:szCs w:val="28"/>
          <w:lang w:val="en-US"/>
        </w:rPr>
        <w:t>ru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 xml:space="preserve">Конкурсная документация направляется организатором конкурса заинтересованным лицам в электронном виде по электронной почте в течение 2 (двух) рабочих дней со дня поступления соответствующего запроса.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конкурса. Предоставление конкурсной документации по электронной почте производится без взимания платы. 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 xml:space="preserve">  Конкурсная документация может быть представлена в электронном виде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бесплатно на носитель, представленный заинтересованным лицом. </w:t>
      </w:r>
    </w:p>
    <w:p w:rsidR="00BC1995" w:rsidRPr="00B61B2C" w:rsidRDefault="00BC1995" w:rsidP="00BC1995">
      <w:pPr>
        <w:pBdr>
          <w:bottom w:val="single" w:sz="12" w:space="6" w:color="auto"/>
        </w:pBd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 xml:space="preserve">При направлении конкурсной документации в письменном виде по почте организатор конкурса  не берет на себя ответственность за утерю или вручение с опозданием конкурсной документации. 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Заявки на участие в конкурсе могут быть представлены только в письменной форме по адресу:</w:t>
      </w:r>
    </w:p>
    <w:p w:rsidR="00BC1995" w:rsidRPr="00B61B2C" w:rsidRDefault="00BC1995" w:rsidP="00BC1995">
      <w:pPr>
        <w:ind w:left="57" w:firstLine="709"/>
        <w:jc w:val="both"/>
        <w:rPr>
          <w:bCs/>
          <w:sz w:val="28"/>
          <w:szCs w:val="28"/>
        </w:rPr>
      </w:pPr>
      <w:r w:rsidRPr="00B61B2C">
        <w:rPr>
          <w:sz w:val="28"/>
          <w:szCs w:val="28"/>
        </w:rPr>
        <w:t xml:space="preserve">413090, </w:t>
      </w:r>
      <w:proofErr w:type="gramStart"/>
      <w:r w:rsidRPr="00B61B2C">
        <w:rPr>
          <w:sz w:val="28"/>
          <w:szCs w:val="28"/>
        </w:rPr>
        <w:t>Саратовская</w:t>
      </w:r>
      <w:proofErr w:type="gramEnd"/>
      <w:r w:rsidRPr="00B61B2C">
        <w:rPr>
          <w:sz w:val="28"/>
          <w:szCs w:val="28"/>
        </w:rPr>
        <w:t xml:space="preserve"> обл., г. Маркс, пр. Ленина, д. 20, каб</w:t>
      </w:r>
      <w:r w:rsidRPr="00B61B2C">
        <w:rPr>
          <w:bCs/>
          <w:sz w:val="28"/>
          <w:szCs w:val="28"/>
        </w:rPr>
        <w:t>. 22.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 xml:space="preserve">Начало приема заявок – </w:t>
      </w:r>
      <w:r>
        <w:rPr>
          <w:sz w:val="28"/>
          <w:szCs w:val="28"/>
        </w:rPr>
        <w:t>«2</w:t>
      </w:r>
      <w:r w:rsidRPr="00B61B2C">
        <w:rPr>
          <w:sz w:val="28"/>
          <w:szCs w:val="28"/>
        </w:rPr>
        <w:t>» февраля 2024 года.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Срок окончания приема заявок - 11 часов «</w:t>
      </w:r>
      <w:r>
        <w:rPr>
          <w:sz w:val="28"/>
          <w:szCs w:val="28"/>
        </w:rPr>
        <w:t>4</w:t>
      </w:r>
      <w:r w:rsidRPr="00B61B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B61B2C">
        <w:rPr>
          <w:sz w:val="28"/>
          <w:szCs w:val="28"/>
        </w:rPr>
        <w:t>2024 года.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</w:p>
    <w:p w:rsidR="00BC1995" w:rsidRPr="00B61B2C" w:rsidRDefault="00BC1995" w:rsidP="00BC1995">
      <w:pPr>
        <w:jc w:val="center"/>
        <w:rPr>
          <w:sz w:val="28"/>
          <w:szCs w:val="28"/>
        </w:rPr>
      </w:pPr>
      <w:r w:rsidRPr="00B61B2C">
        <w:rPr>
          <w:sz w:val="28"/>
          <w:szCs w:val="28"/>
        </w:rPr>
        <w:t>Размер обеспечения заявки на участие в конкурсе составляет:</w:t>
      </w:r>
    </w:p>
    <w:p w:rsidR="00BC1995" w:rsidRPr="00B61B2C" w:rsidRDefault="00BC1995" w:rsidP="00BC1995">
      <w:pPr>
        <w:rPr>
          <w:sz w:val="28"/>
          <w:szCs w:val="28"/>
        </w:rPr>
      </w:pPr>
    </w:p>
    <w:tbl>
      <w:tblPr>
        <w:tblW w:w="0" w:type="auto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6731"/>
      </w:tblGrid>
      <w:tr w:rsidR="00BC1995" w:rsidRPr="00B61B2C" w:rsidTr="00C320C6">
        <w:trPr>
          <w:jc w:val="center"/>
        </w:trPr>
        <w:tc>
          <w:tcPr>
            <w:tcW w:w="2650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№ Лота</w:t>
            </w:r>
          </w:p>
        </w:tc>
        <w:tc>
          <w:tcPr>
            <w:tcW w:w="6731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BC1995" w:rsidRPr="00B61B2C" w:rsidTr="00C320C6">
        <w:trPr>
          <w:jc w:val="center"/>
        </w:trPr>
        <w:tc>
          <w:tcPr>
            <w:tcW w:w="2650" w:type="dxa"/>
          </w:tcPr>
          <w:p w:rsidR="00BC1995" w:rsidRPr="00B61B2C" w:rsidRDefault="00BC1995" w:rsidP="00BC199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403,09</w:t>
            </w:r>
          </w:p>
        </w:tc>
      </w:tr>
    </w:tbl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 xml:space="preserve">Вскрытие конвертов с заявками будет производиться конкурсной комиссией </w:t>
      </w:r>
      <w:r>
        <w:rPr>
          <w:sz w:val="28"/>
          <w:szCs w:val="28"/>
        </w:rPr>
        <w:t>«7</w:t>
      </w:r>
      <w:r w:rsidRPr="00B61B2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61B2C">
        <w:rPr>
          <w:sz w:val="28"/>
          <w:szCs w:val="28"/>
        </w:rPr>
        <w:t xml:space="preserve"> 2024 года в 11 ч. 15 мин. по адресу: </w:t>
      </w:r>
      <w:proofErr w:type="gramStart"/>
      <w:r w:rsidRPr="00B61B2C">
        <w:rPr>
          <w:sz w:val="28"/>
          <w:szCs w:val="28"/>
        </w:rPr>
        <w:t>Саратовская</w:t>
      </w:r>
      <w:proofErr w:type="gramEnd"/>
      <w:r w:rsidRPr="00B61B2C">
        <w:rPr>
          <w:sz w:val="28"/>
          <w:szCs w:val="28"/>
        </w:rPr>
        <w:t xml:space="preserve"> обл., г. Маркс, пр. Ленина, д. 20, кабинет № 22.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Начало рассмотрения конкурсной комиссией заявок на участие в конкурсе «</w:t>
      </w:r>
      <w:r>
        <w:rPr>
          <w:sz w:val="28"/>
          <w:szCs w:val="28"/>
        </w:rPr>
        <w:t>7</w:t>
      </w:r>
      <w:r w:rsidRPr="00B61B2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61B2C">
        <w:rPr>
          <w:sz w:val="28"/>
          <w:szCs w:val="28"/>
        </w:rPr>
        <w:t xml:space="preserve"> 2024</w:t>
      </w:r>
      <w:bookmarkStart w:id="0" w:name="_GoBack"/>
      <w:bookmarkEnd w:id="0"/>
      <w:r w:rsidRPr="00B61B2C">
        <w:rPr>
          <w:sz w:val="28"/>
          <w:szCs w:val="28"/>
        </w:rPr>
        <w:t xml:space="preserve"> года в 11 ч. 30 мин. 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lastRenderedPageBreak/>
        <w:t>Окончание рассмотрения конкурсной комиссией заявок на участие в конкурсе «</w:t>
      </w:r>
      <w:r>
        <w:rPr>
          <w:sz w:val="28"/>
          <w:szCs w:val="28"/>
        </w:rPr>
        <w:t>11</w:t>
      </w:r>
      <w:r w:rsidRPr="00B61B2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61B2C">
        <w:rPr>
          <w:sz w:val="28"/>
          <w:szCs w:val="28"/>
        </w:rPr>
        <w:t xml:space="preserve"> 2024 года в 10 ч. 00 мин.  по адресу:  </w:t>
      </w:r>
      <w:proofErr w:type="gramStart"/>
      <w:r w:rsidRPr="00B61B2C">
        <w:rPr>
          <w:sz w:val="28"/>
          <w:szCs w:val="28"/>
        </w:rPr>
        <w:t>Саратовская</w:t>
      </w:r>
      <w:proofErr w:type="gramEnd"/>
      <w:r w:rsidRPr="00B61B2C">
        <w:rPr>
          <w:sz w:val="28"/>
          <w:szCs w:val="28"/>
        </w:rPr>
        <w:t xml:space="preserve"> обл., г. Маркс, пр. Ленина, д. 20,  кабинет № 22.</w:t>
      </w:r>
    </w:p>
    <w:p w:rsidR="00BC1995" w:rsidRPr="00B61B2C" w:rsidRDefault="00BC1995" w:rsidP="00BC1995">
      <w:pPr>
        <w:ind w:left="57" w:firstLine="709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Место, дата и время проведения конкурса:</w:t>
      </w:r>
      <w:r w:rsidRPr="00B61B2C">
        <w:rPr>
          <w:b/>
          <w:sz w:val="28"/>
          <w:szCs w:val="28"/>
        </w:rPr>
        <w:t xml:space="preserve"> </w:t>
      </w:r>
      <w:r w:rsidRPr="00B61B2C">
        <w:rPr>
          <w:sz w:val="28"/>
          <w:szCs w:val="28"/>
        </w:rPr>
        <w:t>конкурс</w:t>
      </w:r>
      <w:r w:rsidRPr="00B61B2C">
        <w:rPr>
          <w:b/>
          <w:sz w:val="28"/>
          <w:szCs w:val="28"/>
        </w:rPr>
        <w:t xml:space="preserve"> </w:t>
      </w:r>
      <w:r w:rsidRPr="00B61B2C">
        <w:rPr>
          <w:sz w:val="28"/>
          <w:szCs w:val="28"/>
        </w:rPr>
        <w:t>будет производиться «</w:t>
      </w:r>
      <w:r>
        <w:rPr>
          <w:sz w:val="28"/>
          <w:szCs w:val="28"/>
        </w:rPr>
        <w:t>1</w:t>
      </w:r>
      <w:r w:rsidRPr="00B61B2C">
        <w:rPr>
          <w:sz w:val="28"/>
          <w:szCs w:val="28"/>
        </w:rPr>
        <w:t xml:space="preserve">2» </w:t>
      </w:r>
      <w:r>
        <w:rPr>
          <w:sz w:val="28"/>
          <w:szCs w:val="28"/>
        </w:rPr>
        <w:t>марта</w:t>
      </w:r>
      <w:r w:rsidRPr="00B61B2C">
        <w:rPr>
          <w:sz w:val="28"/>
          <w:szCs w:val="28"/>
        </w:rPr>
        <w:t xml:space="preserve"> 2024 года в 10 ч. 00 мин. по адресу:  </w:t>
      </w:r>
      <w:proofErr w:type="gramStart"/>
      <w:r w:rsidRPr="00B61B2C">
        <w:rPr>
          <w:sz w:val="28"/>
          <w:szCs w:val="28"/>
        </w:rPr>
        <w:t>Саратовская</w:t>
      </w:r>
      <w:proofErr w:type="gramEnd"/>
      <w:r w:rsidRPr="00B61B2C">
        <w:rPr>
          <w:sz w:val="28"/>
          <w:szCs w:val="28"/>
        </w:rPr>
        <w:t xml:space="preserve"> обл., г. Маркс, пр. Ленина, д. 20, кабинет № 22.</w:t>
      </w:r>
    </w:p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</w:p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  <w:r w:rsidRPr="00B61B2C">
        <w:rPr>
          <w:sz w:val="28"/>
          <w:szCs w:val="28"/>
        </w:rPr>
        <w:t>ГРАФИК</w:t>
      </w:r>
    </w:p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  <w:r w:rsidRPr="00B61B2C">
        <w:rPr>
          <w:sz w:val="28"/>
          <w:szCs w:val="28"/>
        </w:rPr>
        <w:t>осмотров объектов конкурса.</w:t>
      </w:r>
    </w:p>
    <w:p w:rsidR="00BC1995" w:rsidRPr="00B61B2C" w:rsidRDefault="00BC1995" w:rsidP="00BC1995">
      <w:pPr>
        <w:ind w:left="57" w:firstLine="709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993"/>
        <w:gridCol w:w="708"/>
        <w:gridCol w:w="6237"/>
        <w:gridCol w:w="1559"/>
      </w:tblGrid>
      <w:tr w:rsidR="00BC1995" w:rsidRPr="00B61B2C" w:rsidTr="00C320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pStyle w:val="4"/>
              <w:tabs>
                <w:tab w:val="clear" w:pos="0"/>
                <w:tab w:val="num" w:pos="864"/>
              </w:tabs>
              <w:snapToGrid w:val="0"/>
              <w:jc w:val="center"/>
              <w:rPr>
                <w:b w:val="0"/>
                <w:bCs w:val="0"/>
              </w:rPr>
            </w:pPr>
            <w:r w:rsidRPr="00B61B2C">
              <w:rPr>
                <w:b w:val="0"/>
                <w:bCs w:val="0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BC1995" w:rsidRPr="00B61B2C" w:rsidRDefault="00BC1995" w:rsidP="00C320C6">
            <w:pPr>
              <w:tabs>
                <w:tab w:val="left" w:pos="331"/>
              </w:tabs>
              <w:ind w:left="-108"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 xml:space="preserve">№ </w:t>
            </w:r>
          </w:p>
          <w:p w:rsidR="00BC1995" w:rsidRPr="00B61B2C" w:rsidRDefault="00BC1995" w:rsidP="00C320C6">
            <w:pPr>
              <w:tabs>
                <w:tab w:val="left" w:pos="331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BC1995" w:rsidRPr="00B61B2C" w:rsidRDefault="00BC1995" w:rsidP="00C320C6">
            <w:pPr>
              <w:tabs>
                <w:tab w:val="left" w:pos="331"/>
              </w:tabs>
              <w:ind w:left="-108"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лота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Место и время начало осмотра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Руководитель осмотра, контактный телефон</w:t>
            </w:r>
          </w:p>
        </w:tc>
      </w:tr>
      <w:tr w:rsidR="00BC1995" w:rsidRPr="00B61B2C" w:rsidTr="00C320C6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61B2C">
              <w:rPr>
                <w:sz w:val="28"/>
                <w:szCs w:val="28"/>
              </w:rPr>
              <w:t xml:space="preserve">.02. 2024 г. с 10.00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Лот № 1</w:t>
            </w:r>
            <w:r w:rsidRPr="00B61B2C">
              <w:rPr>
                <w:sz w:val="28"/>
                <w:szCs w:val="28"/>
              </w:rPr>
              <w:tab/>
              <w:t xml:space="preserve">г. Маркс, пр. Ленина, д. 100, </w:t>
            </w:r>
          </w:p>
          <w:p w:rsidR="00BC1995" w:rsidRPr="00B61B2C" w:rsidRDefault="00BC1995" w:rsidP="00C320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95" w:rsidRPr="00B61B2C" w:rsidRDefault="00BC1995" w:rsidP="00C320C6">
            <w:pPr>
              <w:snapToGrid w:val="0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Шевела Вячеслав Владимирович</w:t>
            </w:r>
          </w:p>
          <w:p w:rsidR="00BC1995" w:rsidRPr="00B61B2C" w:rsidRDefault="00BC1995" w:rsidP="00C320C6">
            <w:pPr>
              <w:snapToGrid w:val="0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8(84567)5-16-06</w:t>
            </w:r>
          </w:p>
        </w:tc>
      </w:tr>
    </w:tbl>
    <w:p w:rsidR="00BC1995" w:rsidRPr="00B61B2C" w:rsidRDefault="00BC1995" w:rsidP="00BC1995">
      <w:pPr>
        <w:jc w:val="both"/>
        <w:rPr>
          <w:sz w:val="28"/>
          <w:szCs w:val="28"/>
        </w:rPr>
      </w:pPr>
    </w:p>
    <w:p w:rsidR="00BC1995" w:rsidRPr="00B61B2C" w:rsidRDefault="00BC1995" w:rsidP="00BC1995">
      <w:pPr>
        <w:ind w:left="57" w:firstLine="709"/>
        <w:jc w:val="center"/>
        <w:rPr>
          <w:bCs/>
          <w:sz w:val="28"/>
          <w:szCs w:val="28"/>
        </w:rPr>
      </w:pPr>
      <w:r w:rsidRPr="00B61B2C">
        <w:rPr>
          <w:bCs/>
          <w:sz w:val="28"/>
          <w:szCs w:val="28"/>
        </w:rPr>
        <w:t>Характеристика объектов конкурса:</w:t>
      </w:r>
    </w:p>
    <w:p w:rsidR="00BC1995" w:rsidRPr="00B61B2C" w:rsidRDefault="00BC1995" w:rsidP="00BC1995">
      <w:pPr>
        <w:ind w:left="57" w:firstLine="709"/>
        <w:jc w:val="center"/>
        <w:rPr>
          <w:bCs/>
          <w:sz w:val="28"/>
          <w:szCs w:val="28"/>
        </w:rPr>
      </w:pPr>
    </w:p>
    <w:tbl>
      <w:tblPr>
        <w:tblW w:w="1033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1010"/>
        <w:gridCol w:w="1542"/>
        <w:gridCol w:w="850"/>
        <w:gridCol w:w="585"/>
        <w:gridCol w:w="709"/>
        <w:gridCol w:w="974"/>
        <w:gridCol w:w="302"/>
        <w:gridCol w:w="459"/>
        <w:gridCol w:w="425"/>
        <w:gridCol w:w="567"/>
        <w:gridCol w:w="373"/>
        <w:gridCol w:w="993"/>
        <w:gridCol w:w="916"/>
      </w:tblGrid>
      <w:tr w:rsidR="00BC1995" w:rsidRPr="00B61B2C" w:rsidTr="00C320C6">
        <w:trPr>
          <w:jc w:val="center"/>
        </w:trPr>
        <w:tc>
          <w:tcPr>
            <w:tcW w:w="634" w:type="dxa"/>
            <w:vMerge w:val="restart"/>
            <w:textDirection w:val="btL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№ лота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Адрес и номер МКД</w:t>
            </w:r>
          </w:p>
        </w:tc>
        <w:tc>
          <w:tcPr>
            <w:tcW w:w="1542" w:type="dxa"/>
            <w:vMerge w:val="restart"/>
            <w:textDirection w:val="btL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Виды благоустройства МКД</w:t>
            </w:r>
          </w:p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Кадастровый номер дома, площадь земельного участка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Материал кровли</w:t>
            </w:r>
          </w:p>
        </w:tc>
        <w:tc>
          <w:tcPr>
            <w:tcW w:w="1753" w:type="dxa"/>
            <w:gridSpan w:val="4"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Количество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Серия и тип постройки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995" w:rsidRPr="00B61B2C" w:rsidRDefault="00BC1995" w:rsidP="00C320C6">
            <w:pPr>
              <w:suppressAutoHyphens w:val="0"/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995" w:rsidRPr="00B61B2C" w:rsidRDefault="00BC1995" w:rsidP="00C320C6">
            <w:pPr>
              <w:suppressAutoHyphens w:val="0"/>
            </w:pPr>
          </w:p>
        </w:tc>
      </w:tr>
      <w:tr w:rsidR="00BC1995" w:rsidRPr="00B61B2C" w:rsidTr="00C320C6">
        <w:trPr>
          <w:cantSplit/>
          <w:trHeight w:val="2815"/>
          <w:jc w:val="center"/>
        </w:trPr>
        <w:tc>
          <w:tcPr>
            <w:tcW w:w="634" w:type="dxa"/>
            <w:vMerge/>
          </w:tcPr>
          <w:p w:rsidR="00BC1995" w:rsidRPr="00B61B2C" w:rsidRDefault="00BC1995" w:rsidP="00C320C6">
            <w:pPr>
              <w:ind w:left="113"/>
              <w:contextualSpacing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vMerge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Этажей</w:t>
            </w:r>
          </w:p>
        </w:tc>
        <w:tc>
          <w:tcPr>
            <w:tcW w:w="459" w:type="dxa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Лифтов</w:t>
            </w:r>
          </w:p>
        </w:tc>
        <w:tc>
          <w:tcPr>
            <w:tcW w:w="425" w:type="dxa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Подъездов</w:t>
            </w:r>
          </w:p>
        </w:tc>
        <w:tc>
          <w:tcPr>
            <w:tcW w:w="567" w:type="dxa"/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Квартир</w:t>
            </w:r>
          </w:p>
        </w:tc>
        <w:tc>
          <w:tcPr>
            <w:tcW w:w="373" w:type="dxa"/>
            <w:vMerge/>
            <w:tcBorders>
              <w:right w:val="single" w:sz="4" w:space="0" w:color="auto"/>
            </w:tcBorders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Площадь жилых и нежилых помещений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BC1995" w:rsidRPr="00B61B2C" w:rsidRDefault="00BC1995" w:rsidP="00C320C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Площадь общего пользования</w:t>
            </w:r>
          </w:p>
        </w:tc>
      </w:tr>
      <w:tr w:rsidR="00BC1995" w:rsidRPr="00B61B2C" w:rsidTr="00C320C6">
        <w:trPr>
          <w:cantSplit/>
          <w:trHeight w:val="1036"/>
          <w:jc w:val="center"/>
        </w:trPr>
        <w:tc>
          <w:tcPr>
            <w:tcW w:w="634" w:type="dxa"/>
          </w:tcPr>
          <w:p w:rsidR="00BC1995" w:rsidRPr="00B61B2C" w:rsidRDefault="00BC1995" w:rsidP="00BC1995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 xml:space="preserve">г. </w:t>
            </w:r>
            <w:proofErr w:type="spellStart"/>
            <w:r w:rsidRPr="00B61B2C">
              <w:rPr>
                <w:sz w:val="28"/>
                <w:szCs w:val="28"/>
              </w:rPr>
              <w:t>Маркс</w:t>
            </w:r>
            <w:proofErr w:type="gramStart"/>
            <w:r w:rsidRPr="00B61B2C">
              <w:rPr>
                <w:sz w:val="28"/>
                <w:szCs w:val="28"/>
              </w:rPr>
              <w:t>,п</w:t>
            </w:r>
            <w:proofErr w:type="gramEnd"/>
            <w:r w:rsidRPr="00B61B2C">
              <w:rPr>
                <w:sz w:val="28"/>
                <w:szCs w:val="28"/>
              </w:rPr>
              <w:t>р</w:t>
            </w:r>
            <w:proofErr w:type="spellEnd"/>
            <w:r w:rsidRPr="00B61B2C">
              <w:rPr>
                <w:sz w:val="28"/>
                <w:szCs w:val="28"/>
              </w:rPr>
              <w:t xml:space="preserve">. Ленина д. 100. </w:t>
            </w:r>
          </w:p>
        </w:tc>
        <w:tc>
          <w:tcPr>
            <w:tcW w:w="1542" w:type="dxa"/>
          </w:tcPr>
          <w:p w:rsidR="00BC1995" w:rsidRPr="00B61B2C" w:rsidRDefault="00BC1995" w:rsidP="00C320C6">
            <w:r w:rsidRPr="00B61B2C">
              <w:rPr>
                <w:sz w:val="28"/>
                <w:szCs w:val="28"/>
              </w:rPr>
              <w:t>Электроснабжение, водоснабжение, водоотведение, газоснабжение</w:t>
            </w:r>
          </w:p>
        </w:tc>
        <w:tc>
          <w:tcPr>
            <w:tcW w:w="850" w:type="dxa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bCs/>
                <w:sz w:val="28"/>
                <w:szCs w:val="28"/>
              </w:rPr>
              <w:t>64:44:100102:1341</w:t>
            </w:r>
          </w:p>
        </w:tc>
        <w:tc>
          <w:tcPr>
            <w:tcW w:w="585" w:type="dxa"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1973 г.</w:t>
            </w:r>
          </w:p>
        </w:tc>
        <w:tc>
          <w:tcPr>
            <w:tcW w:w="709" w:type="dxa"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974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302" w:type="dxa"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24</w:t>
            </w:r>
          </w:p>
        </w:tc>
        <w:tc>
          <w:tcPr>
            <w:tcW w:w="373" w:type="dxa"/>
            <w:vAlign w:val="center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874,4</w:t>
            </w:r>
          </w:p>
        </w:tc>
        <w:tc>
          <w:tcPr>
            <w:tcW w:w="916" w:type="dxa"/>
            <w:vAlign w:val="center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169,7</w:t>
            </w:r>
          </w:p>
        </w:tc>
      </w:tr>
    </w:tbl>
    <w:p w:rsidR="00BC1995" w:rsidRPr="00B61B2C" w:rsidRDefault="00BC1995" w:rsidP="00BC1995">
      <w:pPr>
        <w:rPr>
          <w:sz w:val="28"/>
          <w:szCs w:val="28"/>
        </w:rPr>
      </w:pPr>
    </w:p>
    <w:p w:rsidR="00BC1995" w:rsidRPr="00B61B2C" w:rsidRDefault="00BC1995" w:rsidP="00BC1995">
      <w:pPr>
        <w:rPr>
          <w:sz w:val="28"/>
          <w:szCs w:val="28"/>
        </w:rPr>
      </w:pPr>
    </w:p>
    <w:p w:rsidR="00BC1995" w:rsidRPr="00B61B2C" w:rsidRDefault="00BC1995" w:rsidP="00BC1995">
      <w:pPr>
        <w:rPr>
          <w:sz w:val="28"/>
          <w:szCs w:val="28"/>
        </w:rPr>
      </w:pPr>
      <w:r w:rsidRPr="00B61B2C">
        <w:rPr>
          <w:sz w:val="28"/>
          <w:szCs w:val="28"/>
        </w:rPr>
        <w:t>Наименование работ и услуг по содержанию и ремонту общего имущества</w:t>
      </w:r>
    </w:p>
    <w:p w:rsidR="00BC1995" w:rsidRPr="00B61B2C" w:rsidRDefault="00BC1995" w:rsidP="00BC1995">
      <w:pPr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8"/>
        <w:gridCol w:w="1699"/>
      </w:tblGrid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Наименование работ/услуг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Примечание</w:t>
            </w: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 xml:space="preserve">I. Подготовка </w:t>
            </w:r>
            <w:proofErr w:type="gramStart"/>
            <w:r w:rsidRPr="00B61B2C">
              <w:rPr>
                <w:sz w:val="28"/>
                <w:szCs w:val="28"/>
              </w:rPr>
              <w:t>многоквартирного</w:t>
            </w:r>
            <w:proofErr w:type="gramEnd"/>
            <w:r w:rsidRPr="00B61B2C">
              <w:rPr>
                <w:sz w:val="28"/>
                <w:szCs w:val="28"/>
              </w:rPr>
              <w:t xml:space="preserve"> дома к сезонной эксплуатации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</w:p>
        </w:tc>
      </w:tr>
      <w:tr w:rsidR="00BC1995" w:rsidRPr="00B61B2C" w:rsidTr="00C320C6">
        <w:trPr>
          <w:trHeight w:val="651"/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B2C">
              <w:rPr>
                <w:rFonts w:ascii="Times New Roman" w:hAnsi="Times New Roman"/>
                <w:sz w:val="28"/>
                <w:szCs w:val="28"/>
              </w:rPr>
              <w:t>1.1. Осмотр линий электросетей, арматуры и электрооборудования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1.2.   Текущий ремонт окон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1.3.   Текущий ремонт дверей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1.4.   Замена стекол в оконных переплетах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1.5. Консервация и расконсервация систем центрального отопления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1.6. Регулировка систем центрального отопления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1.7. Затраты на РКЦ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1.8. Затраты на содержание УК (</w:t>
            </w:r>
            <w:proofErr w:type="spellStart"/>
            <w:r w:rsidRPr="00B61B2C">
              <w:rPr>
                <w:sz w:val="28"/>
                <w:szCs w:val="28"/>
              </w:rPr>
              <w:t>з</w:t>
            </w:r>
            <w:proofErr w:type="spellEnd"/>
            <w:r w:rsidRPr="00B61B2C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B61B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1B2C">
              <w:rPr>
                <w:sz w:val="28"/>
                <w:szCs w:val="28"/>
              </w:rPr>
              <w:t xml:space="preserve"> персонала, канцелярские товары, ГСМ, связь, аренда машин и здания, налоги)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 xml:space="preserve">II. Техническое обслуживание </w:t>
            </w:r>
            <w:proofErr w:type="gramStart"/>
            <w:r w:rsidRPr="00B61B2C">
              <w:rPr>
                <w:sz w:val="28"/>
                <w:szCs w:val="28"/>
              </w:rPr>
              <w:t>многоквартирного</w:t>
            </w:r>
            <w:proofErr w:type="gramEnd"/>
            <w:r w:rsidRPr="00B61B2C"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2.1.   Аварийно-диспетчерская служба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2.2.   Замена светильников (внутридомовых и дворовых)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2.3.   Смена электроламп (внутридомовых и дворовых)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2.4.   Текущий ремонт электропроводки, арматуры (выключатели, патроны).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 xml:space="preserve">2.5.  Ремонт в групповых электрических щитах с заменой автоматов      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 xml:space="preserve">2.6.  Устранение засоров внутренних трубопроводов    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2.7.  Уплотнение сгонов, запорной арматуры на трубопроводах внутридомовых инженерных сетях.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2.8. Средства на оплату  за потребленную энергетическую энергию - места общего пользования, дворовое освещение.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2.9. Прочистка внутридомовой  системы  канализации и выходов канализационной системы на колодцы канализации.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2.10. Прочистка вентиляционных каналов.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2.11. Сезонный уход за крышей (очистка от снега, наледи, опавших листьев).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  <w:lang w:val="en-US"/>
              </w:rPr>
              <w:t>III</w:t>
            </w:r>
            <w:r w:rsidRPr="00B61B2C">
              <w:rPr>
                <w:sz w:val="28"/>
                <w:szCs w:val="28"/>
              </w:rPr>
              <w:t>. Текущий ремонт многоквартирного дома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 xml:space="preserve">3.1. Внутридомовое  отопление (стояки в комнатах).         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3.2. Внутридомовое  водоснабжение  (стояки).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3.3. Внутридомовое  водоотведение (стояки).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3.4. Стены, фасад, цоколь.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3.5. Подъезды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  <w:tr w:rsidR="00BC1995" w:rsidRPr="00B61B2C" w:rsidTr="00C320C6">
        <w:trPr>
          <w:jc w:val="center"/>
        </w:trPr>
        <w:tc>
          <w:tcPr>
            <w:tcW w:w="8048" w:type="dxa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3.6. Отмостки</w:t>
            </w:r>
          </w:p>
        </w:tc>
        <w:tc>
          <w:tcPr>
            <w:tcW w:w="1699" w:type="dxa"/>
          </w:tcPr>
          <w:p w:rsidR="00BC1995" w:rsidRPr="00B61B2C" w:rsidRDefault="00BC1995" w:rsidP="00C320C6">
            <w:pPr>
              <w:rPr>
                <w:b/>
                <w:sz w:val="28"/>
                <w:szCs w:val="28"/>
              </w:rPr>
            </w:pPr>
          </w:p>
        </w:tc>
      </w:tr>
    </w:tbl>
    <w:p w:rsidR="00BC1995" w:rsidRPr="00B61B2C" w:rsidRDefault="00BC1995" w:rsidP="00BC1995">
      <w:pPr>
        <w:rPr>
          <w:sz w:val="28"/>
          <w:szCs w:val="28"/>
        </w:rPr>
      </w:pPr>
    </w:p>
    <w:p w:rsidR="00BC1995" w:rsidRPr="00B61B2C" w:rsidRDefault="00BC1995" w:rsidP="00BC1995">
      <w:pPr>
        <w:jc w:val="center"/>
        <w:rPr>
          <w:sz w:val="28"/>
          <w:szCs w:val="28"/>
        </w:rPr>
      </w:pPr>
      <w:r w:rsidRPr="00B61B2C">
        <w:rPr>
          <w:sz w:val="28"/>
          <w:szCs w:val="28"/>
        </w:rPr>
        <w:t>Размер платы за содержание и ремонт:</w:t>
      </w:r>
    </w:p>
    <w:p w:rsidR="00BC1995" w:rsidRPr="00B61B2C" w:rsidRDefault="00BC1995" w:rsidP="00BC1995">
      <w:pPr>
        <w:jc w:val="center"/>
        <w:rPr>
          <w:sz w:val="28"/>
          <w:szCs w:val="28"/>
        </w:rPr>
      </w:pPr>
    </w:p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5237"/>
        <w:gridCol w:w="1822"/>
        <w:gridCol w:w="1972"/>
      </w:tblGrid>
      <w:tr w:rsidR="00BC1995" w:rsidRPr="00B61B2C" w:rsidTr="00C320C6">
        <w:trPr>
          <w:trHeight w:val="1313"/>
          <w:jc w:val="center"/>
        </w:trPr>
        <w:tc>
          <w:tcPr>
            <w:tcW w:w="781" w:type="dxa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B61B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1B2C">
              <w:rPr>
                <w:sz w:val="28"/>
                <w:szCs w:val="28"/>
              </w:rPr>
              <w:t>/</w:t>
            </w:r>
            <w:proofErr w:type="spellStart"/>
            <w:r w:rsidRPr="00B61B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7" w:type="dxa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Адрес</w:t>
            </w:r>
          </w:p>
        </w:tc>
        <w:tc>
          <w:tcPr>
            <w:tcW w:w="1822" w:type="dxa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Размер платы за содержание и ремонт руб. за 1 кв. м в год</w:t>
            </w:r>
          </w:p>
        </w:tc>
        <w:tc>
          <w:tcPr>
            <w:tcW w:w="1972" w:type="dxa"/>
          </w:tcPr>
          <w:p w:rsidR="00BC1995" w:rsidRPr="00B61B2C" w:rsidRDefault="00BC1995" w:rsidP="00C320C6">
            <w:pPr>
              <w:contextualSpacing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Размер платы за содержание и ремонт руб. за 1 кв. м в месяц</w:t>
            </w:r>
          </w:p>
        </w:tc>
      </w:tr>
      <w:tr w:rsidR="00BC1995" w:rsidRPr="00B61B2C" w:rsidTr="00C320C6">
        <w:trPr>
          <w:jc w:val="center"/>
        </w:trPr>
        <w:tc>
          <w:tcPr>
            <w:tcW w:w="781" w:type="dxa"/>
          </w:tcPr>
          <w:p w:rsidR="00BC1995" w:rsidRPr="00B61B2C" w:rsidRDefault="00BC1995" w:rsidP="00C320C6">
            <w:pPr>
              <w:ind w:left="78"/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4</w:t>
            </w:r>
          </w:p>
        </w:tc>
      </w:tr>
      <w:tr w:rsidR="00BC1995" w:rsidRPr="00B61B2C" w:rsidTr="00C320C6">
        <w:trPr>
          <w:jc w:val="center"/>
        </w:trPr>
        <w:tc>
          <w:tcPr>
            <w:tcW w:w="781" w:type="dxa"/>
          </w:tcPr>
          <w:p w:rsidR="00BC1995" w:rsidRPr="00B61B2C" w:rsidRDefault="00BC1995" w:rsidP="00BC1995">
            <w:pPr>
              <w:numPr>
                <w:ilvl w:val="0"/>
                <w:numId w:val="4"/>
              </w:numPr>
              <w:tabs>
                <w:tab w:val="left" w:pos="387"/>
              </w:tabs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BC1995" w:rsidRPr="00B61B2C" w:rsidRDefault="00BC1995" w:rsidP="00C320C6">
            <w:pPr>
              <w:rPr>
                <w:sz w:val="28"/>
                <w:szCs w:val="28"/>
              </w:rPr>
            </w:pPr>
            <w:r w:rsidRPr="00B61B2C">
              <w:rPr>
                <w:sz w:val="28"/>
                <w:szCs w:val="28"/>
              </w:rPr>
              <w:t>г. Маркс, пр. Ленина, д. 100</w:t>
            </w:r>
          </w:p>
        </w:tc>
        <w:tc>
          <w:tcPr>
            <w:tcW w:w="1822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11,44</w:t>
            </w:r>
          </w:p>
        </w:tc>
        <w:tc>
          <w:tcPr>
            <w:tcW w:w="1972" w:type="dxa"/>
          </w:tcPr>
          <w:p w:rsidR="00BC1995" w:rsidRPr="00B61B2C" w:rsidRDefault="00BC1995" w:rsidP="00C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137,28</w:t>
            </w:r>
          </w:p>
        </w:tc>
      </w:tr>
    </w:tbl>
    <w:p w:rsidR="00BC1995" w:rsidRPr="00B61B2C" w:rsidRDefault="00BC1995" w:rsidP="00BC1995">
      <w:pPr>
        <w:ind w:firstLine="708"/>
        <w:jc w:val="both"/>
        <w:rPr>
          <w:sz w:val="28"/>
          <w:szCs w:val="28"/>
        </w:rPr>
      </w:pPr>
    </w:p>
    <w:p w:rsidR="00BC1995" w:rsidRPr="00B61B2C" w:rsidRDefault="00BC1995" w:rsidP="00BC1995">
      <w:pPr>
        <w:ind w:firstLine="708"/>
        <w:jc w:val="both"/>
        <w:rPr>
          <w:sz w:val="28"/>
          <w:szCs w:val="28"/>
        </w:rPr>
      </w:pPr>
      <w:r w:rsidRPr="00B61B2C">
        <w:rPr>
          <w:sz w:val="28"/>
          <w:szCs w:val="28"/>
        </w:rPr>
        <w:t>Стандартный перечень коммунальных услуг, предоставляемых управляющей организацией: электроснабжение, газоснабжение, отопление, снабжение холодной водой, водоотведение (вывоз ЖБО). Примечание: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BC1995" w:rsidRPr="00B61B2C" w:rsidRDefault="00BC1995" w:rsidP="00BC1995">
      <w:pPr>
        <w:rPr>
          <w:sz w:val="28"/>
          <w:szCs w:val="28"/>
        </w:rPr>
      </w:pPr>
    </w:p>
    <w:p w:rsidR="00E21684" w:rsidRDefault="00E21684"/>
    <w:sectPr w:rsidR="00E21684" w:rsidSect="00E2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938AA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270556B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304"/>
    <w:multiLevelType w:val="hybridMultilevel"/>
    <w:tmpl w:val="83F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95"/>
    <w:rsid w:val="00124CE6"/>
    <w:rsid w:val="00446AAA"/>
    <w:rsid w:val="004F4453"/>
    <w:rsid w:val="00504FC1"/>
    <w:rsid w:val="00A43C8F"/>
    <w:rsid w:val="00A55D2D"/>
    <w:rsid w:val="00B30D3C"/>
    <w:rsid w:val="00BC1995"/>
    <w:rsid w:val="00BF3F64"/>
    <w:rsid w:val="00CB7F63"/>
    <w:rsid w:val="00CE11D5"/>
    <w:rsid w:val="00E21684"/>
    <w:rsid w:val="00F1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C199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C1995"/>
    <w:pPr>
      <w:keepNext/>
      <w:numPr>
        <w:ilvl w:val="1"/>
        <w:numId w:val="1"/>
      </w:numPr>
      <w:outlineLvl w:val="1"/>
    </w:pPr>
    <w:rPr>
      <w:sz w:val="24"/>
      <w:szCs w:val="32"/>
    </w:rPr>
  </w:style>
  <w:style w:type="paragraph" w:styleId="3">
    <w:name w:val="heading 3"/>
    <w:basedOn w:val="a"/>
    <w:next w:val="a"/>
    <w:link w:val="30"/>
    <w:qFormat/>
    <w:rsid w:val="00BC1995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C199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19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9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C1995"/>
    <w:rPr>
      <w:rFonts w:ascii="Times New Roman" w:eastAsia="Times New Roman" w:hAnsi="Times New Roman" w:cs="Times New Roman"/>
      <w:sz w:val="24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C199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C19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C199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C19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6794</Characters>
  <Application>Microsoft Office Word</Application>
  <DocSecurity>0</DocSecurity>
  <Lines>56</Lines>
  <Paragraphs>15</Paragraphs>
  <ScaleCrop>false</ScaleCrop>
  <Company>Krokoz™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жуйкова-лс</dc:creator>
  <cp:keywords/>
  <dc:description/>
  <cp:lastModifiedBy>жуйкова-лс</cp:lastModifiedBy>
  <cp:revision>2</cp:revision>
  <dcterms:created xsi:type="dcterms:W3CDTF">2024-01-30T12:55:00Z</dcterms:created>
  <dcterms:modified xsi:type="dcterms:W3CDTF">2024-01-30T12:56:00Z</dcterms:modified>
</cp:coreProperties>
</file>