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95" w:rsidRPr="00C74029" w:rsidRDefault="00E42B95" w:rsidP="00E42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02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E42B95" w:rsidRPr="00E42B95" w:rsidRDefault="00F76B63" w:rsidP="00E42B9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76B63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7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E42B95" w:rsidRPr="00E42B95" w:rsidRDefault="00E42B95" w:rsidP="00E42B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E42B95" w:rsidRPr="00E42B95" w:rsidRDefault="00E42B95" w:rsidP="00E4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5-30-01, 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ksk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-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mmr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@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.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sz w:val="20"/>
          <w:szCs w:val="20"/>
        </w:rPr>
        <w:t>от _12апреля _</w:t>
      </w:r>
      <w:r w:rsidRPr="00E42B9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2016 г.</w:t>
      </w:r>
      <w:r w:rsidRPr="00E42B95">
        <w:rPr>
          <w:rFonts w:ascii="Times New Roman" w:eastAsia="Times New Roman" w:hAnsi="Times New Roman" w:cs="Times New Roman"/>
          <w:sz w:val="20"/>
          <w:szCs w:val="20"/>
        </w:rPr>
        <w:t xml:space="preserve"> № 074</w:t>
      </w: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B95" w:rsidRPr="00E42B95" w:rsidRDefault="00E42B95" w:rsidP="00E42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5" w:rsidRPr="00E42B95" w:rsidRDefault="00E42B95" w:rsidP="00E42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Контрольно счетной  комиссии  Марксовского  муниципального  района   по  результатам  внешней  проверки  годового  отчета  об  исполнении  бюджета Зоркинского  муниципального образования за 2015 год.</w:t>
      </w: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832B11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г. Маркс.</w:t>
      </w:r>
    </w:p>
    <w:p w:rsidR="00E42B95" w:rsidRPr="00E42B95" w:rsidRDefault="00E42B95" w:rsidP="00E42B95">
      <w:pPr>
        <w:numPr>
          <w:ilvl w:val="0"/>
          <w:numId w:val="20"/>
        </w:num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Общее положение.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Заключение  об исполнении бюджета за 2015 год </w:t>
      </w:r>
      <w:proofErr w:type="spellStart"/>
      <w:r w:rsidRPr="00E42B95">
        <w:rPr>
          <w:rFonts w:ascii="Times New Roman" w:eastAsia="Times New Roman" w:hAnsi="Times New Roman" w:cs="Times New Roman"/>
          <w:sz w:val="24"/>
          <w:szCs w:val="24"/>
        </w:rPr>
        <w:t>Зоринского</w:t>
      </w:r>
      <w:proofErr w:type="spell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подготовлено в соответствии с требованиями ст. 264.4, Бюджетного  Кодекса Российской Федерации, положением о бюджетном процессе Марксовского муниципального района (утверждённого решением Собрания Марксовского муниципального района от 23.12.2011г. №17/110),решением Собрания  от 20.12.2012 г. № 36/248 «О внесении изменений в решение  Собрания  Марксовского муниципального района от 22.08.2011 г. № 10/68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контрольно-счетной комиссии ММР»,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согласно соглашения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42B95">
        <w:rPr>
          <w:rFonts w:ascii="Times New Roman" w:eastAsia="Times New Roman" w:hAnsi="Times New Roman" w:cs="Times New Roman"/>
          <w:sz w:val="24"/>
          <w:szCs w:val="24"/>
        </w:rPr>
        <w:t>Зоркинским</w:t>
      </w:r>
      <w:proofErr w:type="spell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МО №1 от 12 января 2012 года                         и  планом  работы  контрольно-счетной  комиссии на 1-ое полугодие 2015 года.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Указанный годовой отчет своевременно представлен для анализа, с приложениями  к нему документов, установленных ст. 39 Положения  «О бюджетном  процессе».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В ходе внешней  проверки проанализировано соответствие  показателей годового отчета  об исполнении бюджета Зоркинского муниципального образования, данным  бюджетного  учета, проведены  внешние  проверки  годовой  бюджетной отчетности в соответствии со ст. 264.4 Бюджетного Кодекса РФ.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Общая  характеристика  бюджета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Бюджет Зоркинского  муниципального  образования  на 2015 год  принят  решением  Совета Зоркинского  муниципального  образования,  от 30 декабря 2015 г. № 44/116,  что  свидетельствует о  соблюдении сроков.</w:t>
      </w:r>
    </w:p>
    <w:p w:rsidR="00E42B95" w:rsidRPr="00E42B95" w:rsidRDefault="00E42B95" w:rsidP="00E42B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Согласно решению  Совета Зоркинского муниципального  образования на 2015 год (проект бюджета) утвержден  в первоночальной  редакции: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по доходам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10390,7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 безвозмездные  поступления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4983,0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тыс. руб.,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10390,7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 дефицит  бюджета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тыс. руб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2015 года в бюджет вносились  изменения в  решения Совета Зоркинского муниципального  образования -7 раз.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>В окончательной  редакции  от 30 декабря 2015 г. №   44/116 «О внесении изменений в решение Совета Зоркинского муниципального образования Марксовского муниципального района Саратовской области от 23.12.2014 г № 28/69 «О бюджете Зоркинского муниципального образования на 2015 год».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Бюджет Зоркинского  муниципального образования по доходам в 2015 году утвержден 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12317,8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(в том  числе  безвозмездные  поступления    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5351,0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уб.) по расходам в сумме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12583,4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с дефицитом  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265,6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тыс.руб.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на экспертизу отчете об исполнении годового бюджета  Зоркинского  муниципального  образования  на 2015 год  предлагается  утвердить  исполнение  бюджета по доходам 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12075,7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 или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98,0%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к  уточненному  плану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12317,8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(в том числе  безвозмездные  поступления в сумме  5351,0   тыс. руб.), по расходам  -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12583,4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тыс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уб. или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95,9 %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к годовым  назначениям. (план на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2015 год -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12583,4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  <w:proofErr w:type="gramEnd"/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Профицит бюджета  составил 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1,9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В бюджете  Зоркинского   муниципального образования  сумма дотаций составляет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5351,0 тыс</w:t>
      </w:r>
      <w:proofErr w:type="gramStart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руб. или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44,3%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от суммы доходов: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42B95">
        <w:rPr>
          <w:rFonts w:ascii="Times New Roman" w:eastAsia="Times New Roman" w:hAnsi="Times New Roman" w:cs="Times New Roman"/>
        </w:rPr>
        <w:t xml:space="preserve">        </w:t>
      </w:r>
      <w:r w:rsidRPr="00E42B95">
        <w:rPr>
          <w:rFonts w:ascii="Times New Roman" w:eastAsia="Times New Roman" w:hAnsi="Times New Roman" w:cs="Times New Roman"/>
          <w:b/>
        </w:rPr>
        <w:t xml:space="preserve">Исполнение    бюджета муниципального образования   в 2015 году  в целом  и  изменение  плановых показателей в первоначальной  редакции  представлены </w:t>
      </w:r>
      <w:r w:rsidRPr="00E42B95">
        <w:rPr>
          <w:rFonts w:ascii="Times New Roman" w:eastAsia="Times New Roman" w:hAnsi="Times New Roman" w:cs="Times New Roman"/>
        </w:rPr>
        <w:t xml:space="preserve"> </w:t>
      </w:r>
      <w:r w:rsidRPr="00E42B95">
        <w:rPr>
          <w:rFonts w:ascii="Times New Roman" w:eastAsia="Times New Roman" w:hAnsi="Times New Roman" w:cs="Times New Roman"/>
          <w:b/>
        </w:rPr>
        <w:t>в таблице № 1: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42B9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Таблица № 1.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1377"/>
        <w:gridCol w:w="1406"/>
        <w:gridCol w:w="1189"/>
        <w:gridCol w:w="1338"/>
        <w:gridCol w:w="1144"/>
        <w:gridCol w:w="1351"/>
      </w:tblGrid>
      <w:tr w:rsidR="00E42B95" w:rsidRPr="00E42B95" w:rsidTr="00050D09"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статей 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Совета /проект бюджета на 2015г. №28/69 от 23.12.2014г./.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Совета № 44/116   от30.12.2015г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 2015 год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проект бюджета  и решения от 30.12.2014г. 2015 г./ гр3-гр2 /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Гр,4- гр.3.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исполнения   </w:t>
            </w:r>
          </w:p>
        </w:tc>
      </w:tr>
      <w:tr w:rsidR="00E42B95" w:rsidRPr="00E42B95" w:rsidTr="00050D09"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42B95" w:rsidRPr="00E42B95" w:rsidTr="00050D09"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том  числе;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10390,7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12317,8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12075,7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1927,1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-242,1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98,03</w:t>
            </w:r>
          </w:p>
        </w:tc>
      </w:tr>
      <w:tr w:rsidR="00E42B95" w:rsidRPr="00E42B95" w:rsidTr="00050D09"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 неналоговые доходы.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5407,7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6966,8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6724,7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1559,1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-242,1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E42B95" w:rsidRPr="00E42B95" w:rsidTr="00050D09">
        <w:trPr>
          <w:trHeight w:val="1609"/>
        </w:trPr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 перечисления от  других  бюджетов бюджетной  системы РФ.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4983,0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5351,0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5351,0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050D09">
        <w:trPr>
          <w:trHeight w:val="799"/>
        </w:trPr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безвозмездные пост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спонсоры)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95" w:rsidRPr="00E42B95" w:rsidTr="00050D09"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95" w:rsidRPr="00E42B95" w:rsidTr="00050D09"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10390,7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12583,4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12073,9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2192,7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-509,5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E42B95" w:rsidRPr="00E42B95" w:rsidTr="00050D09"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(дефицит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)б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юджета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-265,6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050D09"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размера дефицита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Исполнение:</w:t>
      </w:r>
    </w:p>
    <w:p w:rsidR="00E42B95" w:rsidRPr="00E42B95" w:rsidRDefault="00E42B95" w:rsidP="00E42B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налоговые и неналоговые доходы фактически  поступили –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6724,7 тыс. руб.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их доля в доходах муниципального образования  составила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55,7%;</w:t>
      </w:r>
    </w:p>
    <w:p w:rsidR="00E42B95" w:rsidRPr="00E42B95" w:rsidRDefault="00E42B95" w:rsidP="00E42B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–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5351,0 тыс. руб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. их доля в доходах муниципального образования  составляет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44,3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</w:p>
    <w:p w:rsidR="00E42B95" w:rsidRPr="00E42B95" w:rsidRDefault="00E42B95" w:rsidP="00E42B95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Увеличение бюджетных назначений в окончательной  редакции  по сравнению с первоначальной  редакцией по доходам - на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1927,1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тыс. руб.</w:t>
      </w:r>
    </w:p>
    <w:p w:rsidR="00E42B95" w:rsidRPr="00E42B95" w:rsidRDefault="00E42B95" w:rsidP="00E4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             - по группе «Налоговые и неналоговые доходы» увеличились  на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1559,1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 тыс.     руб. </w:t>
      </w:r>
    </w:p>
    <w:p w:rsidR="00E42B95" w:rsidRPr="00E42B95" w:rsidRDefault="00E42B95" w:rsidP="00E4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             - по группе «Безвозмездные  перечисления от других уровней  бюджета увеличились  »   на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368,0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 по  сравнению  с первоначальной  редакцией увеличены на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2192,7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 или  на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21,1 %.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в том числе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(по проекту бюджета на 2015 год)</w:t>
      </w:r>
    </w:p>
    <w:p w:rsidR="00E42B95" w:rsidRPr="00E42B95" w:rsidRDefault="00E42B95" w:rsidP="00E42B95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дотации бюджету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на выравнивание уровня бюджетной обеспеченности муниципального  района –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1170,2 тыс. руб.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34,6%;</w:t>
      </w:r>
    </w:p>
    <w:p w:rsidR="00E42B95" w:rsidRPr="00E42B95" w:rsidRDefault="00E42B95" w:rsidP="00E42B95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субвенции бюджету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 осуществление органами  местного  самоуправления  полномочий  по  первичному  воинскому  учету на территориях, где отсутствуют военные  комиссариаты –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288,0 тыс. руб.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9,5%;</w:t>
      </w:r>
    </w:p>
    <w:p w:rsidR="00E42B95" w:rsidRPr="00E42B95" w:rsidRDefault="00E42B95" w:rsidP="00E42B95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межбюджетные трансферты, передаваемые бюджету муниципального образования на поддержку мер по обеспечению  сбалансированности бюджетов поселений – 1892,8 тыс. руб.,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что составляет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55,9%;</w:t>
      </w:r>
    </w:p>
    <w:p w:rsidR="00E42B95" w:rsidRPr="00E42B95" w:rsidRDefault="00E42B95" w:rsidP="00E42B95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возврат остатков субсидий, субвенций и иных  межбюджетных трансфертов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,  имеющих целевое назначение, прошлых  лет из  бюджетов муниципального  образования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не  планировалось.</w:t>
      </w:r>
    </w:p>
    <w:p w:rsidR="00E42B95" w:rsidRPr="00E42B95" w:rsidRDefault="00E42B95" w:rsidP="00E42B95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ИСПОЛНЕНИЕ  ДОХОДНОЙ  ЧАСТИ  БЮДЖЕТА</w:t>
      </w:r>
      <w:proofErr w:type="gramStart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За 2015 год в бюджет Зоркинского муниципального  образования  поступило доходов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12075,7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 или 98,0 %  к годовым  назначениям  (плановые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12317,8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 тыс. руб.).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доходов  поступило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6724,7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96,5 %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к  плановым  годовым  назначениям (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6966,8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Доля  собственных поступлений в общем объеме доходов  составляет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55,7  %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6966,8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объем  межбюджетных  трансфертов  составил  5351,0 тыс. руб. или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100  %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к  годовым  назначениям   (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5351,0 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руб.),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в том числе:   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-дотации на выравнивание бюджетной обеспеченности за счет  собственных доходов и источников внутреннего  финансирования дефицита бюджета муниципального  района -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967,4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 дотации на выравнивание  бюджетной обеспеченности за счет  субвенций областного  бюджета -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202,8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 субвенции  на осуществление органами  местного  самоуправления полномочий по первичному воинскому учету на  территориях, где отсутствуют военные комиссариаты -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288,0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трансферты, передаваемые бюджету муниципального образования  на осуществление части полномочий по решению вопросов  местного значения в соответствии с  заключенными соглашениями   -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70,0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 прочие межбюджетные трансферты  бюджету Зоркинского муниципального образования на поддержку  мер по обеспечению сбалансированности  бюджетов  поселений -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3822,8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     Объем доходов отраженный  в годовом  отчете за 2015 год  составил   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12075,7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уб. или и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98,0  %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к уточненному плану  (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12317,8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   )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42B95">
        <w:rPr>
          <w:rFonts w:ascii="Times New Roman" w:eastAsia="Times New Roman" w:hAnsi="Times New Roman" w:cs="Times New Roman"/>
          <w:b/>
        </w:rPr>
        <w:t xml:space="preserve">               Динамика  доходов  Зоркинского  муниципального  образования за 2015  год представлена  в таблице № 2.</w:t>
      </w: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Таблица № 2.               (тыс</w:t>
      </w:r>
      <w:proofErr w:type="gramStart"/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уб.)</w:t>
      </w:r>
    </w:p>
    <w:tbl>
      <w:tblPr>
        <w:tblW w:w="92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8"/>
        <w:gridCol w:w="1098"/>
        <w:gridCol w:w="1257"/>
        <w:gridCol w:w="964"/>
        <w:gridCol w:w="1281"/>
        <w:gridCol w:w="1666"/>
        <w:gridCol w:w="222"/>
      </w:tblGrid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проект  бюджета на 2015г.</w:t>
            </w: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 от 30.12.2015г     №44/116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2015год.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–И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10390,7</w:t>
            </w: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12317,8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12075,7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-242,1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5407,7</w:t>
            </w: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6966,8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6724,7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-242,1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5407,7</w:t>
            </w: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6966,8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6724,7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-242,1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556,5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558,7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2786,8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3026,9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 доход в т.ч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диный сельхоз. налог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 имущество физических лиц.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755,3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-24,7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2202,7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-57,3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50,8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 от использования имущества, находящегося  в государственной и муниципальной  собственности, в том числе: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-доходы, от продажи материальных и  нематериальных активов.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-402,0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 поступления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 поступления от других бюджетов бюджетной системы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4983,0</w:t>
            </w: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5351,0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5351,0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-Прочие  безвозмездные  поступления (спонсоры)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050D09">
        <w:tc>
          <w:tcPr>
            <w:tcW w:w="274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2B95" w:rsidRPr="00E42B95" w:rsidRDefault="00E42B95" w:rsidP="00E42B95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исполнения бюджета по доходам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Формирование доходной части бюджета Зоркинского муниципального образования  на 2015 год осуществлен на основании утвержденных показателей социально-экономического развития муниципального образования, доходов муниципального района с учётом оценки ожидаемого поступления доходов в бюджет муниципального района в 2015 году.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налогов в бюджет муниципального района в 2015 году составило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6724,7в том числе:</w:t>
      </w:r>
    </w:p>
    <w:p w:rsidR="00E42B95" w:rsidRPr="00E42B95" w:rsidRDefault="00E42B95" w:rsidP="00E42B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из них основные  налоговые и неналоговые  платежи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8,3%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на доходы физических лиц (сумма налога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558,7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45,1%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приходится на налог по акцизам по подакцизным товарам (продукции) производимым на территории РФ (сумма налога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3026,9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1,4%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приходится на налог на совокупный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доход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в том числе  сельскохозяйственный налог (сумма налога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92,6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руб.);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11,2%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от налога на  имущество (сумма налога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755,3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0,8%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государственная пошлина (сумма налога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74,5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32,8%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доходы от земельного  налога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(сумма налога 2202,7 тыс. руб.)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0,4 %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приходится на доходы прочие поступления от использования  имущества, находящегося в собственности поселений–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фа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>ктическое выполнение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28,0  тыс.  руб.;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0 %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доходы от  продажи  материальных и нематериальных активов –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выполнения нет.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b/>
          <w:i/>
          <w:sz w:val="18"/>
          <w:szCs w:val="18"/>
        </w:rPr>
        <w:t>БЕЗВОЗМЕЗДНЫЕ  ПОСТУПЛЕНИЯ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E42B95">
        <w:rPr>
          <w:rFonts w:ascii="Times New Roman" w:eastAsia="Times New Roman" w:hAnsi="Times New Roman" w:cs="Times New Roman"/>
          <w:b/>
          <w:i/>
          <w:sz w:val="18"/>
          <w:szCs w:val="18"/>
        </w:rPr>
        <w:t>Таблица № 3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(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1545"/>
        <w:gridCol w:w="1547"/>
        <w:gridCol w:w="1546"/>
        <w:gridCol w:w="1556"/>
        <w:gridCol w:w="1550"/>
      </w:tblGrid>
      <w:tr w:rsidR="00E42B95" w:rsidRPr="00E42B95" w:rsidTr="00050D09">
        <w:tc>
          <w:tcPr>
            <w:tcW w:w="17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7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 бюджета на 2015 года /№28/69 от 23.12.2014г./</w:t>
            </w:r>
          </w:p>
        </w:tc>
        <w:tc>
          <w:tcPr>
            <w:tcW w:w="158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Совета от 30.12.2015г №44/116</w:t>
            </w:r>
          </w:p>
        </w:tc>
        <w:tc>
          <w:tcPr>
            <w:tcW w:w="15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Факт исполнения за 2015 г.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Отклонения от плана (на 2015г) и факта. 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% выполнения </w:t>
            </w:r>
          </w:p>
        </w:tc>
      </w:tr>
      <w:tr w:rsidR="00E42B95" w:rsidRPr="00E42B95" w:rsidTr="00050D09">
        <w:tc>
          <w:tcPr>
            <w:tcW w:w="17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E42B95" w:rsidRPr="00E42B95" w:rsidTr="00050D09">
        <w:tc>
          <w:tcPr>
            <w:tcW w:w="17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42B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Безвозмездные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перечисления-всего</w:t>
            </w:r>
          </w:p>
        </w:tc>
        <w:tc>
          <w:tcPr>
            <w:tcW w:w="157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4983,0</w:t>
            </w:r>
          </w:p>
        </w:tc>
        <w:tc>
          <w:tcPr>
            <w:tcW w:w="158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5351,0</w:t>
            </w:r>
          </w:p>
        </w:tc>
        <w:tc>
          <w:tcPr>
            <w:tcW w:w="15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5351,0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E42B95" w:rsidRPr="00E42B95" w:rsidTr="00050D09">
        <w:tc>
          <w:tcPr>
            <w:tcW w:w="17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 т.ч. дотации бюджетам субъектов РФ и муниципальных образований</w:t>
            </w:r>
          </w:p>
        </w:tc>
        <w:tc>
          <w:tcPr>
            <w:tcW w:w="157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1170,2</w:t>
            </w:r>
          </w:p>
        </w:tc>
        <w:tc>
          <w:tcPr>
            <w:tcW w:w="158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1170,2</w:t>
            </w:r>
          </w:p>
        </w:tc>
        <w:tc>
          <w:tcPr>
            <w:tcW w:w="15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1170,2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E42B95" w:rsidRPr="00E42B95" w:rsidTr="00050D09">
        <w:trPr>
          <w:trHeight w:val="333"/>
        </w:trPr>
        <w:tc>
          <w:tcPr>
            <w:tcW w:w="17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</w:t>
            </w:r>
          </w:p>
        </w:tc>
        <w:tc>
          <w:tcPr>
            <w:tcW w:w="157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050D09">
        <w:trPr>
          <w:trHeight w:val="1329"/>
        </w:trPr>
        <w:tc>
          <w:tcPr>
            <w:tcW w:w="17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осуществление органами местного самоуправления полномочий по первичному воинскому учету </w:t>
            </w:r>
          </w:p>
        </w:tc>
        <w:tc>
          <w:tcPr>
            <w:tcW w:w="157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58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5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050D09">
        <w:tc>
          <w:tcPr>
            <w:tcW w:w="17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на поддержку мер по обеспечению сбалансированности бюджетов поселений </w:t>
            </w:r>
          </w:p>
        </w:tc>
        <w:tc>
          <w:tcPr>
            <w:tcW w:w="157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3492,8</w:t>
            </w:r>
          </w:p>
        </w:tc>
        <w:tc>
          <w:tcPr>
            <w:tcW w:w="158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  <w:tc>
          <w:tcPr>
            <w:tcW w:w="15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050D09">
        <w:tc>
          <w:tcPr>
            <w:tcW w:w="17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Возврат остатков </w:t>
            </w:r>
          </w:p>
        </w:tc>
        <w:tc>
          <w:tcPr>
            <w:tcW w:w="157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общем объеме доходов за 2015 год по безвозмездным поступлениям приходится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прочие межбюджетные трансферты, передаваемые бюджетам поселений на поддержку мер по обеспечению сбалансированности бюджетов  поселений– </w:t>
      </w:r>
      <w:proofErr w:type="gramStart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gramEnd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мма 3892,8 тыс. руб. или 72,7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Основные  характеристики  исполнения  бюджета  по  расходам.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>Зоркинское</w:t>
      </w:r>
      <w:proofErr w:type="spell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 на 01.01.2016 года расходная часть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исполнена в сумме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12073,8 тыс. руб.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96,0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% к годовому отчету (план –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12583,4 тыс. руб.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), в том числе: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 содержание органов местного самоуправления -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3747,0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99,7 % к плану;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 другие общегосударственные  вопросы  -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315,2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первичного воинского учета на территориях, где отсутствуют  военные  комиссариаты –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288,0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по  национальной экономике  израсходовано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2518,7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95,2 % к плану, в том числе: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– дорожная  деятельность  -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2419,2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 мероприятия по землеустройству  и землепользованию –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99,5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жилищно- коммунальное хозяйство –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1364,7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плану, в том числе: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жилищное  хозяйство –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52,4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коммунальное хозяйство  -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1157,0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 -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155,3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 расходы в области культуры -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3318,7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-социальная  политика –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76,9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межбюджетные  трансферты бюджету  муниципального  района на  осуществление  полномочий  по  решению  вопросов  местного  значения, в соответствии  с  заключенными  соглашениями  составили  -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444,6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Основные  показатели расходов за 2015 год представлены  в таблице № 4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Таблица № 4.   (тыс</w:t>
      </w:r>
      <w:proofErr w:type="gramStart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уб.)</w:t>
      </w:r>
    </w:p>
    <w:tbl>
      <w:tblPr>
        <w:tblW w:w="10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1474"/>
        <w:gridCol w:w="1474"/>
        <w:gridCol w:w="996"/>
        <w:gridCol w:w="1145"/>
        <w:gridCol w:w="1453"/>
        <w:gridCol w:w="1422"/>
      </w:tblGrid>
      <w:tr w:rsidR="00E42B95" w:rsidRPr="00E42B95" w:rsidTr="00050D09">
        <w:trPr>
          <w:trHeight w:val="1750"/>
        </w:trPr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проект бюджета МО на 2015 год /№28/69 от 23.12.2014г./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Советом МО № 44/116   от 30.12.2015г</w:t>
            </w:r>
          </w:p>
        </w:tc>
        <w:tc>
          <w:tcPr>
            <w:tcW w:w="99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 г.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расходов в общем  объеме 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14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гр4-гр 3</w:t>
            </w:r>
          </w:p>
        </w:tc>
        <w:tc>
          <w:tcPr>
            <w:tcW w:w="14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42B95" w:rsidRPr="00E42B95" w:rsidTr="00050D09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2B95" w:rsidRPr="00E42B95" w:rsidTr="00050D09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Р01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3903,1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4524,9</w:t>
            </w:r>
          </w:p>
        </w:tc>
        <w:tc>
          <w:tcPr>
            <w:tcW w:w="99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4506,9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4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14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E42B95" w:rsidRPr="00E42B95" w:rsidTr="00050D09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Р03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Военкоматы национальная оборона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050D09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Р04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2302,2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3010,3</w:t>
            </w:r>
          </w:p>
        </w:tc>
        <w:tc>
          <w:tcPr>
            <w:tcW w:w="99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2518,7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4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-491,6</w:t>
            </w:r>
          </w:p>
        </w:tc>
        <w:tc>
          <w:tcPr>
            <w:tcW w:w="14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E42B95" w:rsidRPr="00E42B95" w:rsidTr="00050D09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Р05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302,9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1364,7</w:t>
            </w:r>
          </w:p>
        </w:tc>
        <w:tc>
          <w:tcPr>
            <w:tcW w:w="99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1364,7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4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050D09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Р08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3469,8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3318,7</w:t>
            </w:r>
          </w:p>
        </w:tc>
        <w:tc>
          <w:tcPr>
            <w:tcW w:w="99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3318,7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050D09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Р10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 политика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050D09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10390,7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12583,4</w:t>
            </w:r>
          </w:p>
        </w:tc>
        <w:tc>
          <w:tcPr>
            <w:tcW w:w="99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12073,9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-509,5</w:t>
            </w:r>
          </w:p>
        </w:tc>
        <w:tc>
          <w:tcPr>
            <w:tcW w:w="14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Муниципальные  программы  социально – экономического  развития на 2015 год.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на 2015 год планировалось  финансирование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на  общую  сумму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2494,7 тыс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Совет депутатов  Зоркинского  муниципального  образования  от 30.12.2015 г.  утверждено  финансирование  3 муниципальных программ  на  общую  сумму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4094,1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Фактически выполнено  3 муниципальных программ  на общую сумму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3602,6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руб., или  88%.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Не полностью выполнена   муниципальная  программа «Ремонт автомобильных дорог местного  значения населенных пунктов поселений в границах Зоркинского МО на 2015 г.». Сумма неиспользованных бюджетных  средств составляет – 491,6 тыс. руб.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Расходы на  финансирование каждой  муниципальной  программы  отражаются  в  расходах бюджета  за 2014год по  разделам  и  подразделам в соответствии с функциональной  классификацией  расходов  бюджетов Российской  Федерации (таблица № 5). 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E42B95">
        <w:rPr>
          <w:rFonts w:ascii="Times New Roman" w:eastAsia="Times New Roman" w:hAnsi="Times New Roman" w:cs="Times New Roman"/>
          <w:b/>
        </w:rPr>
        <w:t>Муниципальные   программы  2015 год.</w:t>
      </w:r>
      <w:r w:rsidRPr="00E42B95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E42B95">
        <w:rPr>
          <w:rFonts w:ascii="Times New Roman" w:eastAsia="Times New Roman" w:hAnsi="Times New Roman" w:cs="Times New Roman"/>
          <w:b/>
        </w:rPr>
        <w:t>Таблица № 5                    (тыс</w:t>
      </w:r>
      <w:proofErr w:type="gramStart"/>
      <w:r w:rsidRPr="00E42B95">
        <w:rPr>
          <w:rFonts w:ascii="Times New Roman" w:eastAsia="Times New Roman" w:hAnsi="Times New Roman" w:cs="Times New Roman"/>
          <w:b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b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7"/>
        <w:gridCol w:w="1389"/>
        <w:gridCol w:w="2049"/>
        <w:gridCol w:w="1499"/>
        <w:gridCol w:w="1555"/>
        <w:gridCol w:w="1164"/>
      </w:tblGrid>
      <w:tr w:rsidR="00E42B95" w:rsidRPr="00E42B95" w:rsidTr="00050D09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МП</w:t>
            </w:r>
          </w:p>
        </w:tc>
        <w:tc>
          <w:tcPr>
            <w:tcW w:w="138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МО проект на 2015 г.</w:t>
            </w:r>
          </w:p>
        </w:tc>
        <w:tc>
          <w:tcPr>
            <w:tcW w:w="204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МО от 30.12.2015г№44/116</w:t>
            </w: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2015 г</w:t>
            </w: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неиспользованные назначена</w:t>
            </w:r>
          </w:p>
        </w:tc>
      </w:tr>
      <w:tr w:rsidR="00E42B95" w:rsidRPr="00E42B95" w:rsidTr="00050D09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2B95" w:rsidRPr="00E42B95" w:rsidTr="00050D09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первичных мер пожарной безопасности населения Зоркинского МО на 2012-2015г»</w:t>
            </w:r>
          </w:p>
        </w:tc>
        <w:tc>
          <w:tcPr>
            <w:tcW w:w="138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04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050D09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МП» Ремонт автомобильных дорог местного значения населенных пунктов поселений в границах Зоркинского МО на 2015г»</w:t>
            </w:r>
          </w:p>
        </w:tc>
        <w:tc>
          <w:tcPr>
            <w:tcW w:w="138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2302,2</w:t>
            </w:r>
          </w:p>
        </w:tc>
        <w:tc>
          <w:tcPr>
            <w:tcW w:w="204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2910,8</w:t>
            </w: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2419,2</w:t>
            </w: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-491,6</w:t>
            </w:r>
          </w:p>
        </w:tc>
      </w:tr>
      <w:tr w:rsidR="00E42B95" w:rsidRPr="00E42B95" w:rsidTr="00050D09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МП «По обеспечению питьевой водой населения Зоркинского МО на 2015г»</w:t>
            </w:r>
          </w:p>
        </w:tc>
        <w:tc>
          <w:tcPr>
            <w:tcW w:w="138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204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95" w:rsidRPr="00E42B95" w:rsidTr="00050D09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МП «Капитальный ремонт многоквартирных жилых домов и муниципального жилья».</w:t>
            </w:r>
          </w:p>
        </w:tc>
        <w:tc>
          <w:tcPr>
            <w:tcW w:w="138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204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95" w:rsidRPr="00E42B95" w:rsidTr="00050D09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8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2494,7</w:t>
            </w:r>
          </w:p>
        </w:tc>
        <w:tc>
          <w:tcPr>
            <w:tcW w:w="204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4094,1</w:t>
            </w: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3602,6</w:t>
            </w: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-491,6</w:t>
            </w:r>
          </w:p>
        </w:tc>
      </w:tr>
      <w:tr w:rsidR="00E42B95" w:rsidRPr="00E42B95" w:rsidTr="00050D09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Бюджет Зоркинского  муниципального образования  исполнен с  </w:t>
      </w:r>
      <w:proofErr w:type="spellStart"/>
      <w:r w:rsidRPr="00E42B95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proofErr w:type="spell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1,9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Остатки  денежных  средств бюджета Зоркинского муниципального  образования, не имеющих целевого  назначения и находящихся по состоянию на 1 января 2016 года на едином счете бюджета Зоркинского  муниципального  образования, на покрытие кассовых  разрывов  составили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267,5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Бюджетные ассигнования резервного фонда  администрации 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Зоркинского  муниципального  образования, предусмотренные на 2015 год в сумме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5,0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на  проведение  аварийно- восстановительных  работ и  иных  мероприятий, связанных  с  ликвидацией  последствий  стихийных  бедствий  и других  чрезвычайных  ситуаций в 2015 году не  исполнены.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Причиной не исполнения  является  отсутствие  распоряжений  администрации  Зоркинского  муниципального  образования  о направлении  бюджетных  ассигнований  резервного фонда  администрации  на проведение  аварийно- восстановительных  работ и  иных  мероприятий, связанных  с ликвидацией  последствий  стихийных  бедствий  и  других  чрезвычайных  ситуаций.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рассмотрения годового отчета за 2015 год  об исполнении  бюджета  Зоркинского  муниципального  образования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1.Объем бюджета  Зоркинского  муниципального   образования  по  сравнению с  первоначально  утвержденным  уровнем  изменился  в течени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2015 года   следующим образом :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По доходам – увеличился   на  сумму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1927,1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 и  составил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12317,8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-объем  налоговых и неналоговых доходов   увеличился   на сумму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1559,1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и составил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6966,8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-объем  безвозмездных поступлений  увеличился   на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368,0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5351,0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-по расходам – увеличился  на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2192,7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12583,4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-дефицит бюджета  первоначально  запланирован в размере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 в результате  внесенных  изменений,  принят с  превышение расходов  над доходами  в  объеме -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265,6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2. Исполнение основных  параметров бюджета  за 2015 год по отношению к утвержденному  Решением   Совета объему  составило: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доходы  -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12075,7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98,0%;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расходы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-12073,9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95,9%;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профицит бюджета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1,9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3.Утвержденные бюджетные  назначения, отраженные  в предоставленном отчете  об исполнении  бюджета Зоркинского  муниципального образования  за 2015 год  соответствуют  утвержденным  параметрам  Решения Совета № 44/116 от 30.12.2015 г.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Данные годового  отчета  об исполнении бюджета Зоркинского муниципального образования  за 2015 год в целом  признаны  в ходе внешней проверки  контрольно- счетной комиссией   Марксовского муниципального района   достоверными  и могут   быть  признаны для его  законодательного  утверждения.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Контрольно-счетной комиссии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В.А. Россошанская</w:t>
      </w:r>
    </w:p>
    <w:p w:rsidR="00B87072" w:rsidRDefault="00B87072"/>
    <w:sectPr w:rsidR="00B87072" w:rsidSect="001A41EE">
      <w:pgSz w:w="11906" w:h="16838" w:code="9"/>
      <w:pgMar w:top="993" w:right="99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50A08"/>
    <w:multiLevelType w:val="hybridMultilevel"/>
    <w:tmpl w:val="58645D08"/>
    <w:lvl w:ilvl="0" w:tplc="D1EC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01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7759CC"/>
    <w:multiLevelType w:val="hybridMultilevel"/>
    <w:tmpl w:val="85CA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12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C72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D812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E34C4E"/>
    <w:multiLevelType w:val="hybridMultilevel"/>
    <w:tmpl w:val="38045DF2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B167EC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80936F1"/>
    <w:multiLevelType w:val="singleLevel"/>
    <w:tmpl w:val="D5385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524A20CB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2875B2D"/>
    <w:multiLevelType w:val="hybridMultilevel"/>
    <w:tmpl w:val="9F5282D4"/>
    <w:lvl w:ilvl="0" w:tplc="7EC6E9B6">
      <w:start w:val="1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3339E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93A4A60"/>
    <w:multiLevelType w:val="hybridMultilevel"/>
    <w:tmpl w:val="1902DA9E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B55CB2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3E758DE"/>
    <w:multiLevelType w:val="hybridMultilevel"/>
    <w:tmpl w:val="F3467A42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7346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382F4C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C006AD0"/>
    <w:multiLevelType w:val="hybridMultilevel"/>
    <w:tmpl w:val="7A56A79E"/>
    <w:lvl w:ilvl="0" w:tplc="21C01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035ACE"/>
    <w:multiLevelType w:val="hybridMultilevel"/>
    <w:tmpl w:val="C5DCF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7"/>
  </w:num>
  <w:num w:numId="11">
    <w:abstractNumId w:val="6"/>
  </w:num>
  <w:num w:numId="12">
    <w:abstractNumId w:val="16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B95"/>
    <w:rsid w:val="002B6F62"/>
    <w:rsid w:val="007E126F"/>
    <w:rsid w:val="00832B11"/>
    <w:rsid w:val="00B87072"/>
    <w:rsid w:val="00E42B95"/>
    <w:rsid w:val="00F7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62"/>
  </w:style>
  <w:style w:type="paragraph" w:styleId="1">
    <w:name w:val="heading 1"/>
    <w:basedOn w:val="a"/>
    <w:next w:val="a"/>
    <w:link w:val="10"/>
    <w:qFormat/>
    <w:rsid w:val="00E42B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42B9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E42B95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E42B95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42B95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E42B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B9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42B95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E42B95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E42B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42B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E42B95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42B95"/>
  </w:style>
  <w:style w:type="paragraph" w:styleId="a3">
    <w:name w:val="header"/>
    <w:basedOn w:val="a"/>
    <w:link w:val="a4"/>
    <w:rsid w:val="00E42B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42B9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E42B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E42B95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42B95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E42B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2B95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E42B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42B95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E42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E42B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2B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95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42B9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E42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42B9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semiHidden/>
    <w:rsid w:val="00E42B95"/>
    <w:rPr>
      <w:color w:val="0000FF"/>
      <w:u w:val="single"/>
    </w:rPr>
  </w:style>
  <w:style w:type="table" w:styleId="ae">
    <w:name w:val="Table Grid"/>
    <w:basedOn w:val="a1"/>
    <w:uiPriority w:val="59"/>
    <w:rsid w:val="00E4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E42B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k-m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1\Desktop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2777</Words>
  <Characters>15834</Characters>
  <Application>Microsoft Office Word</Application>
  <DocSecurity>0</DocSecurity>
  <Lines>131</Lines>
  <Paragraphs>37</Paragraphs>
  <ScaleCrop>false</ScaleCrop>
  <Company>Собрание ММР</Company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 Ревизионный Отдел</dc:creator>
  <cp:keywords/>
  <dc:description/>
  <cp:lastModifiedBy>Контрольно Ревизионный Отдел</cp:lastModifiedBy>
  <cp:revision>5</cp:revision>
  <dcterms:created xsi:type="dcterms:W3CDTF">2016-04-12T11:06:00Z</dcterms:created>
  <dcterms:modified xsi:type="dcterms:W3CDTF">2016-05-05T05:13:00Z</dcterms:modified>
</cp:coreProperties>
</file>