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B8" w:rsidRPr="00842040" w:rsidRDefault="00244BB8" w:rsidP="00244BB8">
      <w:pPr>
        <w:pStyle w:val="af3"/>
        <w:spacing w:line="260" w:lineRule="exact"/>
        <w:jc w:val="center"/>
        <w:rPr>
          <w:sz w:val="28"/>
          <w:szCs w:val="28"/>
        </w:rPr>
      </w:pPr>
      <w:r w:rsidRPr="00842040">
        <w:rPr>
          <w:sz w:val="28"/>
          <w:szCs w:val="28"/>
        </w:rPr>
        <w:t xml:space="preserve">АДМИНИСТРАЦИЯ МАРКСОВСКОГО </w:t>
      </w:r>
      <w:proofErr w:type="gramStart"/>
      <w:r w:rsidRPr="00842040">
        <w:rPr>
          <w:sz w:val="28"/>
          <w:szCs w:val="28"/>
        </w:rPr>
        <w:t>МУНИЦИПАЛЬНОГО</w:t>
      </w:r>
      <w:proofErr w:type="gramEnd"/>
    </w:p>
    <w:p w:rsidR="00244BB8" w:rsidRPr="00842040" w:rsidRDefault="00244BB8" w:rsidP="00244BB8">
      <w:pPr>
        <w:pStyle w:val="af3"/>
        <w:spacing w:line="260" w:lineRule="exact"/>
        <w:jc w:val="center"/>
        <w:rPr>
          <w:sz w:val="28"/>
          <w:szCs w:val="28"/>
        </w:rPr>
      </w:pPr>
      <w:r w:rsidRPr="00842040">
        <w:rPr>
          <w:sz w:val="28"/>
          <w:szCs w:val="28"/>
        </w:rPr>
        <w:t>РАЙОНА САРАТОВСКОЙ ОБЛАСТИ</w:t>
      </w:r>
    </w:p>
    <w:p w:rsidR="00244BB8" w:rsidRPr="00842040" w:rsidRDefault="00244BB8" w:rsidP="00244BB8">
      <w:pPr>
        <w:pStyle w:val="af3"/>
        <w:spacing w:line="260" w:lineRule="exact"/>
        <w:jc w:val="center"/>
        <w:rPr>
          <w:b/>
          <w:sz w:val="28"/>
          <w:szCs w:val="28"/>
        </w:rPr>
      </w:pPr>
      <w:proofErr w:type="gramStart"/>
      <w:r w:rsidRPr="00842040">
        <w:rPr>
          <w:b/>
          <w:sz w:val="28"/>
          <w:szCs w:val="28"/>
        </w:rPr>
        <w:t>П</w:t>
      </w:r>
      <w:proofErr w:type="gramEnd"/>
      <w:r w:rsidRPr="00842040">
        <w:rPr>
          <w:b/>
          <w:sz w:val="28"/>
          <w:szCs w:val="28"/>
        </w:rPr>
        <w:t xml:space="preserve"> О С Т А Н О В Л Е Н И Е</w:t>
      </w:r>
    </w:p>
    <w:p w:rsidR="00244BB8" w:rsidRPr="00842040" w:rsidRDefault="00244BB8" w:rsidP="00244BB8">
      <w:pPr>
        <w:pStyle w:val="af3"/>
        <w:spacing w:line="260" w:lineRule="exact"/>
        <w:rPr>
          <w:sz w:val="28"/>
          <w:szCs w:val="28"/>
        </w:rPr>
      </w:pPr>
    </w:p>
    <w:p w:rsidR="00244BB8" w:rsidRDefault="00244BB8" w:rsidP="00244BB8">
      <w:pPr>
        <w:pStyle w:val="af3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31</w:t>
      </w:r>
      <w:r w:rsidRPr="00842040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3375-н</w:t>
      </w:r>
    </w:p>
    <w:p w:rsidR="005C1E81" w:rsidRPr="005C1E81" w:rsidRDefault="005C1E81" w:rsidP="00244BB8">
      <w:pPr>
        <w:pStyle w:val="a6"/>
      </w:pPr>
    </w:p>
    <w:p w:rsidR="00BF7DB2" w:rsidRPr="005C1E81" w:rsidRDefault="00971D74" w:rsidP="005C1E81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5C1E81">
        <w:fldChar w:fldCharType="begin"/>
      </w:r>
      <w:r w:rsidR="001F2DC0" w:rsidRPr="005C1E81">
        <w:instrText>HYPERLINK "garantF1://9491808.0"</w:instrText>
      </w:r>
      <w:r w:rsidRPr="005C1E81">
        <w:fldChar w:fldCharType="separate"/>
      </w:r>
      <w:r w:rsidR="003C7E50" w:rsidRPr="005C1E81">
        <w:rPr>
          <w:rFonts w:ascii="Times New Roman" w:hAnsi="Times New Roman" w:cs="Times New Roman"/>
          <w:sz w:val="28"/>
          <w:szCs w:val="28"/>
        </w:rPr>
        <w:br/>
      </w:r>
      <w:r w:rsidR="00BF7DB2" w:rsidRPr="005C1E81">
        <w:rPr>
          <w:rFonts w:ascii="Times New Roman" w:hAnsi="Times New Roman" w:cs="Times New Roman"/>
          <w:sz w:val="28"/>
          <w:szCs w:val="28"/>
        </w:rPr>
        <w:t>Порядок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город Ма</w:t>
      </w:r>
      <w:proofErr w:type="gramStart"/>
      <w:r w:rsidR="00BF7DB2" w:rsidRPr="005C1E81">
        <w:rPr>
          <w:rFonts w:ascii="Times New Roman" w:hAnsi="Times New Roman" w:cs="Times New Roman"/>
          <w:sz w:val="28"/>
          <w:szCs w:val="28"/>
        </w:rPr>
        <w:t>ркс в сф</w:t>
      </w:r>
      <w:proofErr w:type="gramEnd"/>
      <w:r w:rsidR="00BF7DB2" w:rsidRPr="005C1E81">
        <w:rPr>
          <w:rFonts w:ascii="Times New Roman" w:hAnsi="Times New Roman" w:cs="Times New Roman"/>
          <w:sz w:val="28"/>
          <w:szCs w:val="28"/>
        </w:rPr>
        <w:t>ере благоустройства, д</w:t>
      </w:r>
      <w:r w:rsidR="005C1E81" w:rsidRPr="005C1E81">
        <w:rPr>
          <w:rFonts w:ascii="Times New Roman" w:hAnsi="Times New Roman" w:cs="Times New Roman"/>
          <w:sz w:val="28"/>
          <w:szCs w:val="28"/>
        </w:rPr>
        <w:t>ля физических и юридических лиц</w:t>
      </w:r>
    </w:p>
    <w:p w:rsidR="00162D7C" w:rsidRPr="005C1E81" w:rsidRDefault="00971D74" w:rsidP="005C1E81">
      <w:pPr>
        <w:pStyle w:val="a6"/>
        <w:jc w:val="both"/>
      </w:pPr>
      <w:r w:rsidRPr="005C1E81">
        <w:fldChar w:fldCharType="end"/>
      </w:r>
    </w:p>
    <w:p w:rsidR="00DB6C23" w:rsidRPr="005C1E81" w:rsidRDefault="00DB6C23" w:rsidP="005C1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1E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пунктом 4 статьи 9.2. </w:t>
      </w:r>
      <w:proofErr w:type="gramStart"/>
      <w:r w:rsidRPr="005C1E81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12.01.1996</w:t>
      </w:r>
      <w:r w:rsidR="001871C0" w:rsidRPr="005C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71C0" w:rsidRPr="005C1E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1E81">
        <w:rPr>
          <w:rFonts w:ascii="Times New Roman" w:eastAsia="Times New Roman" w:hAnsi="Times New Roman" w:cs="Times New Roman"/>
          <w:sz w:val="28"/>
          <w:szCs w:val="28"/>
        </w:rPr>
        <w:t xml:space="preserve"> № 7-ФЗ  «О некоммерческих организациях», в целях обеспечения единого подхода к расчету цен за оказываемые муниципальными бюджетными  учреждениями услуги (работы)  на платной основе,</w:t>
      </w:r>
      <w:r w:rsidR="00CC15CE" w:rsidRPr="005C1E81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CC15CE" w:rsidRPr="005C1E8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CC15CE" w:rsidRPr="005C1E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1871C0" w:rsidRPr="005C1E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871C0" w:rsidRPr="005C1E8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="001871C0" w:rsidRPr="005C1E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Pr="005C1E8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11B5A" w:rsidRPr="005C1E81" w:rsidRDefault="00DB6C23" w:rsidP="005C1E81">
      <w:pPr>
        <w:pStyle w:val="a6"/>
        <w:numPr>
          <w:ilvl w:val="0"/>
          <w:numId w:val="12"/>
        </w:numPr>
        <w:tabs>
          <w:tab w:val="left" w:pos="0"/>
          <w:tab w:val="left" w:pos="851"/>
        </w:tabs>
        <w:ind w:left="0"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8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B7225" w:rsidRPr="005C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225" w:rsidRPr="005C1E81">
        <w:rPr>
          <w:rFonts w:ascii="Times New Roman" w:hAnsi="Times New Roman" w:cs="Times New Roman"/>
          <w:sz w:val="28"/>
          <w:szCs w:val="28"/>
        </w:rPr>
        <w:t>порядок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город Ма</w:t>
      </w:r>
      <w:proofErr w:type="gramStart"/>
      <w:r w:rsidR="001B7225" w:rsidRPr="005C1E81">
        <w:rPr>
          <w:rFonts w:ascii="Times New Roman" w:hAnsi="Times New Roman" w:cs="Times New Roman"/>
          <w:sz w:val="28"/>
          <w:szCs w:val="28"/>
        </w:rPr>
        <w:t>ркс в сф</w:t>
      </w:r>
      <w:proofErr w:type="gramEnd"/>
      <w:r w:rsidR="001B7225" w:rsidRPr="005C1E81">
        <w:rPr>
          <w:rFonts w:ascii="Times New Roman" w:hAnsi="Times New Roman" w:cs="Times New Roman"/>
          <w:sz w:val="28"/>
          <w:szCs w:val="28"/>
        </w:rPr>
        <w:t>ере благоустройства, для физических и юридических лиц</w:t>
      </w:r>
      <w:r w:rsidR="005C1E81" w:rsidRPr="005C1E81">
        <w:rPr>
          <w:rFonts w:ascii="Times New Roman" w:hAnsi="Times New Roman" w:cs="Times New Roman"/>
          <w:sz w:val="28"/>
          <w:szCs w:val="28"/>
        </w:rPr>
        <w:t xml:space="preserve">, </w:t>
      </w:r>
      <w:r w:rsidR="00211B5A" w:rsidRPr="005C1E8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211B5A" w:rsidRPr="005C1E8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11B5A" w:rsidRPr="005C1E81">
        <w:rPr>
          <w:rFonts w:ascii="Times New Roman" w:hAnsi="Times New Roman" w:cs="Times New Roman"/>
          <w:sz w:val="28"/>
          <w:szCs w:val="28"/>
        </w:rPr>
        <w:t>.</w:t>
      </w:r>
    </w:p>
    <w:p w:rsidR="00211B5A" w:rsidRPr="005C1E81" w:rsidRDefault="005C1E81" w:rsidP="005C1E81">
      <w:pPr>
        <w:pStyle w:val="a7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2.</w:t>
      </w:r>
      <w:r w:rsidR="00BD5CB1" w:rsidRPr="005C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 января 2015 года. </w:t>
      </w:r>
    </w:p>
    <w:p w:rsidR="00211B5A" w:rsidRPr="005C1E81" w:rsidRDefault="00BD5CB1" w:rsidP="005C1E81">
      <w:pPr>
        <w:pStyle w:val="a7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3.</w:t>
      </w:r>
      <w:r w:rsidRPr="005C1E81">
        <w:rPr>
          <w:rFonts w:ascii="Times New Roman" w:eastAsia="Times New Roman CYR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 Марксовского муниципального района.</w:t>
      </w:r>
    </w:p>
    <w:p w:rsidR="00BD5CB1" w:rsidRPr="005C1E81" w:rsidRDefault="005C1E81" w:rsidP="005C1E81">
      <w:pPr>
        <w:pStyle w:val="a7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81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BD5CB1" w:rsidRPr="005C1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CB1" w:rsidRPr="005C1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Саратовской области  (Марченко А.О.).</w:t>
      </w:r>
    </w:p>
    <w:p w:rsidR="00A86F0E" w:rsidRPr="005C1E81" w:rsidRDefault="00A86F0E" w:rsidP="005C1E81">
      <w:pPr>
        <w:pStyle w:val="a6"/>
        <w:tabs>
          <w:tab w:val="left" w:pos="896"/>
        </w:tabs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964F4" w:rsidRPr="005C1E81" w:rsidRDefault="008964F4" w:rsidP="005C1E81">
      <w:pPr>
        <w:pStyle w:val="a6"/>
        <w:tabs>
          <w:tab w:val="left" w:pos="896"/>
        </w:tabs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57373" w:rsidRPr="005C1E81" w:rsidRDefault="00857373" w:rsidP="005C1E81">
      <w:pPr>
        <w:pStyle w:val="a6"/>
        <w:tabs>
          <w:tab w:val="left" w:pos="896"/>
        </w:tabs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C1E81">
        <w:rPr>
          <w:rFonts w:ascii="Times New Roman" w:eastAsia="Times New Roman CYR" w:hAnsi="Times New Roman" w:cs="Times New Roman"/>
          <w:sz w:val="28"/>
          <w:szCs w:val="28"/>
        </w:rPr>
        <w:t>Глава администрации</w:t>
      </w:r>
    </w:p>
    <w:p w:rsidR="00857373" w:rsidRPr="005C1E81" w:rsidRDefault="00857373" w:rsidP="005C1E81">
      <w:pPr>
        <w:pStyle w:val="a6"/>
        <w:tabs>
          <w:tab w:val="left" w:pos="896"/>
        </w:tabs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C1E81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A86F0E" w:rsidRPr="005C1E81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C1E81">
        <w:rPr>
          <w:rFonts w:ascii="Times New Roman" w:eastAsia="Times New Roman CYR" w:hAnsi="Times New Roman" w:cs="Times New Roman"/>
          <w:sz w:val="28"/>
          <w:szCs w:val="28"/>
        </w:rPr>
        <w:t xml:space="preserve"> О.А. Тополь</w:t>
      </w:r>
    </w:p>
    <w:p w:rsidR="00857373" w:rsidRPr="005C1E81" w:rsidRDefault="00857373" w:rsidP="005C1E81">
      <w:pPr>
        <w:pStyle w:val="a6"/>
        <w:tabs>
          <w:tab w:val="left" w:pos="896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E81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F7817" w:rsidRPr="005C1E81" w:rsidRDefault="00AF7817" w:rsidP="005C1E81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  <w:r w:rsidRPr="005C1E8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AF7817" w:rsidRPr="005C1E81" w:rsidRDefault="00AF7817" w:rsidP="005C1E81">
      <w:pPr>
        <w:pStyle w:val="a6"/>
        <w:ind w:left="3969"/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C1E8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5C1E81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5C1E8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AF7817" w:rsidRPr="005C1E81" w:rsidRDefault="00AF7817" w:rsidP="005C1E81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  <w:r w:rsidRPr="005C1E81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района</w:t>
      </w:r>
    </w:p>
    <w:p w:rsidR="00AF7817" w:rsidRPr="005C1E81" w:rsidRDefault="005C1E81" w:rsidP="005C1E81">
      <w:pPr>
        <w:pStyle w:val="a6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244BB8">
        <w:rPr>
          <w:rStyle w:val="a8"/>
          <w:rFonts w:ascii="Times New Roman" w:hAnsi="Times New Roman" w:cs="Times New Roman"/>
          <w:b w:val="0"/>
          <w:bCs/>
          <w:color w:val="auto"/>
          <w:sz w:val="28"/>
          <w:szCs w:val="28"/>
        </w:rPr>
        <w:t>31.12.2014 г. № 3375-н</w:t>
      </w:r>
    </w:p>
    <w:p w:rsidR="00AF7817" w:rsidRPr="005C1E81" w:rsidRDefault="00AF7817" w:rsidP="00AF7817">
      <w:pPr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EE19E1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оказание услуг (выполнение работ), относящихся к основным видам деятельности муниципальных бюджетных учреждений </w:t>
      </w:r>
      <w:r w:rsidR="00C318DB" w:rsidRPr="005C1E81">
        <w:rPr>
          <w:rFonts w:ascii="Times New Roman" w:hAnsi="Times New Roman" w:cs="Times New Roman"/>
          <w:sz w:val="28"/>
          <w:szCs w:val="28"/>
        </w:rPr>
        <w:t>муниципального образования город Ма</w:t>
      </w:r>
      <w:proofErr w:type="gramStart"/>
      <w:r w:rsidR="00C318DB" w:rsidRPr="005C1E81">
        <w:rPr>
          <w:rFonts w:ascii="Times New Roman" w:hAnsi="Times New Roman" w:cs="Times New Roman"/>
          <w:sz w:val="28"/>
          <w:szCs w:val="28"/>
        </w:rPr>
        <w:t>ркс</w:t>
      </w:r>
      <w:r w:rsidRPr="005C1E81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ере благоустройства, для физических и юридических лиц</w:t>
      </w:r>
      <w:r w:rsidR="00C318DB" w:rsidRPr="005C1E81">
        <w:rPr>
          <w:rFonts w:ascii="Times New Roman" w:hAnsi="Times New Roman" w:cs="Times New Roman"/>
          <w:sz w:val="28"/>
          <w:szCs w:val="28"/>
        </w:rPr>
        <w:t>.</w:t>
      </w:r>
    </w:p>
    <w:p w:rsidR="00C318DB" w:rsidRPr="005C1E81" w:rsidRDefault="00C318DB" w:rsidP="00EE19E1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C318DB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40E4E" w:rsidRPr="005C1E81" w:rsidRDefault="00276BBC" w:rsidP="00240E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 xml:space="preserve">Порядок определения платы за оказание услуг (выполнение работ), относящихся к основным видам деятельности муниципальных бюджетных учреждений </w:t>
      </w:r>
      <w:r w:rsidR="00257CBF" w:rsidRPr="005C1E81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5C1E81">
        <w:rPr>
          <w:rFonts w:ascii="Times New Roman" w:hAnsi="Times New Roman" w:cs="Times New Roman"/>
          <w:sz w:val="28"/>
          <w:szCs w:val="28"/>
        </w:rPr>
        <w:t xml:space="preserve"> в сфере благоустройства, для физических и юридических лиц (далее - Порядок) разработан в соответствии с </w:t>
      </w:r>
      <w:hyperlink r:id="rId8" w:history="1">
        <w:r w:rsidRPr="005C1E8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9.2 Федерального закона от 12.01.1996</w:t>
        </w:r>
        <w:r w:rsidR="001871C0" w:rsidRPr="005C1E8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</w:t>
        </w:r>
        <w:r w:rsidRPr="005C1E8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7-ФЗ «О некоммерческих организациях</w:t>
        </w:r>
      </w:hyperlink>
      <w:r w:rsidRPr="005C1E81">
        <w:rPr>
          <w:rFonts w:ascii="Times New Roman" w:hAnsi="Times New Roman" w:cs="Times New Roman"/>
          <w:sz w:val="28"/>
          <w:szCs w:val="28"/>
        </w:rPr>
        <w:t>» и распространяется на муниципальн</w:t>
      </w:r>
      <w:r w:rsidR="00124DD0" w:rsidRPr="005C1E81">
        <w:rPr>
          <w:rFonts w:ascii="Times New Roman" w:hAnsi="Times New Roman" w:cs="Times New Roman"/>
          <w:sz w:val="28"/>
          <w:szCs w:val="28"/>
        </w:rPr>
        <w:t>ое</w:t>
      </w:r>
      <w:r w:rsidRPr="005C1E8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24DD0" w:rsidRPr="005C1E81">
        <w:rPr>
          <w:rFonts w:ascii="Times New Roman" w:hAnsi="Times New Roman" w:cs="Times New Roman"/>
          <w:sz w:val="28"/>
          <w:szCs w:val="28"/>
        </w:rPr>
        <w:t>о</w:t>
      </w:r>
      <w:r w:rsidRPr="005C1E81">
        <w:rPr>
          <w:rFonts w:ascii="Times New Roman" w:hAnsi="Times New Roman" w:cs="Times New Roman"/>
          <w:sz w:val="28"/>
          <w:szCs w:val="28"/>
        </w:rPr>
        <w:t>е учреждени</w:t>
      </w:r>
      <w:r w:rsidR="00124DD0" w:rsidRPr="005C1E81">
        <w:rPr>
          <w:rFonts w:ascii="Times New Roman" w:hAnsi="Times New Roman" w:cs="Times New Roman"/>
          <w:sz w:val="28"/>
          <w:szCs w:val="28"/>
        </w:rPr>
        <w:t>е</w:t>
      </w:r>
      <w:r w:rsidRPr="005C1E81">
        <w:rPr>
          <w:rFonts w:ascii="Times New Roman" w:hAnsi="Times New Roman" w:cs="Times New Roman"/>
          <w:sz w:val="28"/>
          <w:szCs w:val="28"/>
        </w:rPr>
        <w:t xml:space="preserve"> в сфере благоустройства (далее - учреждени</w:t>
      </w:r>
      <w:r w:rsidR="004E7CC7" w:rsidRPr="005C1E81">
        <w:rPr>
          <w:rFonts w:ascii="Times New Roman" w:hAnsi="Times New Roman" w:cs="Times New Roman"/>
          <w:sz w:val="28"/>
          <w:szCs w:val="28"/>
        </w:rPr>
        <w:t>е</w:t>
      </w:r>
      <w:r w:rsidRPr="005C1E81">
        <w:rPr>
          <w:rFonts w:ascii="Times New Roman" w:hAnsi="Times New Roman" w:cs="Times New Roman"/>
          <w:sz w:val="28"/>
          <w:szCs w:val="28"/>
        </w:rPr>
        <w:t>), в отношении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котор</w:t>
      </w:r>
      <w:r w:rsidR="00A34E95" w:rsidRPr="005C1E81">
        <w:rPr>
          <w:rFonts w:ascii="Times New Roman" w:hAnsi="Times New Roman" w:cs="Times New Roman"/>
          <w:sz w:val="28"/>
          <w:szCs w:val="28"/>
        </w:rPr>
        <w:t>ых</w:t>
      </w:r>
      <w:r w:rsidRPr="005C1E8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57CBF" w:rsidRPr="005C1E8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Pr="005C1E81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осуществляющ</w:t>
      </w:r>
      <w:r w:rsidR="00240E4E" w:rsidRPr="005C1E81">
        <w:rPr>
          <w:rFonts w:ascii="Times New Roman" w:hAnsi="Times New Roman" w:cs="Times New Roman"/>
          <w:sz w:val="28"/>
          <w:szCs w:val="28"/>
        </w:rPr>
        <w:t>е</w:t>
      </w:r>
      <w:r w:rsidRPr="005C1E81">
        <w:rPr>
          <w:rFonts w:ascii="Times New Roman" w:hAnsi="Times New Roman" w:cs="Times New Roman"/>
          <w:sz w:val="28"/>
          <w:szCs w:val="28"/>
        </w:rPr>
        <w:t xml:space="preserve">е сверх установленного муниципального задания, а также в случаях, определенных </w:t>
      </w:r>
      <w:r w:rsidR="00A811F1" w:rsidRPr="005C1E81">
        <w:rPr>
          <w:rFonts w:ascii="Times New Roman" w:hAnsi="Times New Roman" w:cs="Times New Roman"/>
          <w:sz w:val="28"/>
          <w:szCs w:val="28"/>
        </w:rPr>
        <w:t>иными нормативными актами</w:t>
      </w:r>
      <w:r w:rsidRPr="005C1E81">
        <w:rPr>
          <w:rFonts w:ascii="Times New Roman" w:hAnsi="Times New Roman" w:cs="Times New Roman"/>
          <w:sz w:val="28"/>
          <w:szCs w:val="28"/>
        </w:rPr>
        <w:t xml:space="preserve">, в пределах установленного муниципального задания </w:t>
      </w:r>
      <w:r w:rsidR="005B4190" w:rsidRPr="005C1E81">
        <w:rPr>
          <w:rFonts w:ascii="Times New Roman" w:hAnsi="Times New Roman" w:cs="Times New Roman"/>
          <w:sz w:val="28"/>
          <w:szCs w:val="28"/>
        </w:rPr>
        <w:t xml:space="preserve">на </w:t>
      </w:r>
      <w:r w:rsidRPr="005C1E81">
        <w:rPr>
          <w:rFonts w:ascii="Times New Roman" w:hAnsi="Times New Roman" w:cs="Times New Roman"/>
          <w:sz w:val="28"/>
          <w:szCs w:val="28"/>
        </w:rPr>
        <w:t>оказание услуг (выполнение работ), относящихся в соответствии с уставом учреждения к его основным видам деятельности, для физических и юридических лиц на платной основе (далее - платные услуги (работы)).</w:t>
      </w:r>
      <w:proofErr w:type="gramEnd"/>
    </w:p>
    <w:p w:rsidR="00240E4E" w:rsidRPr="005C1E81" w:rsidRDefault="00276BBC" w:rsidP="00240E4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2. Порядок не распространяется на иные виды деятельности учреждени</w:t>
      </w:r>
      <w:r w:rsidR="00026580" w:rsidRPr="005C1E81">
        <w:rPr>
          <w:rFonts w:ascii="Times New Roman" w:hAnsi="Times New Roman" w:cs="Times New Roman"/>
          <w:sz w:val="28"/>
          <w:szCs w:val="28"/>
        </w:rPr>
        <w:t>я</w:t>
      </w:r>
      <w:r w:rsidRPr="005C1E81">
        <w:rPr>
          <w:rFonts w:ascii="Times New Roman" w:hAnsi="Times New Roman" w:cs="Times New Roman"/>
          <w:sz w:val="28"/>
          <w:szCs w:val="28"/>
        </w:rPr>
        <w:t>, не являющиеся основными в соответствии с устав</w:t>
      </w:r>
      <w:r w:rsidR="00026580" w:rsidRPr="005C1E81">
        <w:rPr>
          <w:rFonts w:ascii="Times New Roman" w:hAnsi="Times New Roman" w:cs="Times New Roman"/>
          <w:sz w:val="28"/>
          <w:szCs w:val="28"/>
        </w:rPr>
        <w:t>ом</w:t>
      </w:r>
      <w:r w:rsidR="00A34E95" w:rsidRPr="005C1E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C1E81">
        <w:rPr>
          <w:rFonts w:ascii="Times New Roman" w:hAnsi="Times New Roman" w:cs="Times New Roman"/>
          <w:sz w:val="28"/>
          <w:szCs w:val="28"/>
        </w:rPr>
        <w:t>.</w:t>
      </w:r>
    </w:p>
    <w:p w:rsidR="00837888" w:rsidRPr="005C1E81" w:rsidRDefault="00026580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3.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Порядок разработан в целях установления единого механизма формирования цен на платные услуги (работы) (далее - цена).</w:t>
      </w:r>
    </w:p>
    <w:p w:rsidR="005717F5" w:rsidRPr="005C1E81" w:rsidRDefault="00276BBC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Платные услуги (работы) оказываются (выполняются) учреждением по ценам, покрывающим издержки учреждения на оказание (выполнение) данных услуг (работ).</w:t>
      </w:r>
      <w:proofErr w:type="gramEnd"/>
    </w:p>
    <w:p w:rsidR="005717F5" w:rsidRPr="005C1E81" w:rsidRDefault="00837888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5</w:t>
      </w:r>
      <w:r w:rsidR="005717F5" w:rsidRPr="005C1E81">
        <w:rPr>
          <w:rFonts w:ascii="Times New Roman" w:hAnsi="Times New Roman" w:cs="Times New Roman"/>
          <w:sz w:val="28"/>
          <w:szCs w:val="28"/>
        </w:rPr>
        <w:t>.</w:t>
      </w:r>
      <w:r w:rsidR="005717F5"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Учреждение самостоятельно определяет возможность оказания (выполнения) платных услуг (работ) в зависимости от материальной базы, численного состава и квалификации персонала, спроса на услугу, работу и иных факторов.</w:t>
      </w:r>
    </w:p>
    <w:p w:rsidR="008C61A0" w:rsidRPr="005C1E81" w:rsidRDefault="00837888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6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. Учреждение формирует и утверждает перечень платных услуг (работ) по согласованию с отраслевым (функциональным) органом Администрации </w:t>
      </w:r>
      <w:r w:rsidR="008C61A0" w:rsidRPr="005C1E81">
        <w:rPr>
          <w:rFonts w:ascii="Times New Roman" w:hAnsi="Times New Roman" w:cs="Times New Roman"/>
          <w:sz w:val="28"/>
          <w:szCs w:val="28"/>
        </w:rPr>
        <w:t>Марксовского муниципального района (далее - Администрация)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, </w:t>
      </w:r>
      <w:r w:rsidR="004E7CC7" w:rsidRPr="005C1E81">
        <w:rPr>
          <w:rFonts w:ascii="Times New Roman" w:hAnsi="Times New Roman" w:cs="Times New Roman"/>
          <w:sz w:val="28"/>
          <w:szCs w:val="28"/>
        </w:rPr>
        <w:t>выполняющим функции и полномочия учредителя</w:t>
      </w:r>
      <w:r w:rsidR="00276BBC" w:rsidRPr="005C1E81">
        <w:rPr>
          <w:rFonts w:ascii="Times New Roman" w:hAnsi="Times New Roman" w:cs="Times New Roman"/>
          <w:sz w:val="28"/>
          <w:szCs w:val="28"/>
        </w:rPr>
        <w:t>.</w:t>
      </w:r>
    </w:p>
    <w:p w:rsidR="0070235B" w:rsidRPr="005C1E81" w:rsidRDefault="00837888" w:rsidP="004E7CC7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7</w:t>
      </w:r>
      <w:r w:rsidR="00655CB2" w:rsidRPr="005C1E81">
        <w:rPr>
          <w:rFonts w:ascii="Times New Roman" w:hAnsi="Times New Roman" w:cs="Times New Roman"/>
          <w:sz w:val="28"/>
          <w:szCs w:val="28"/>
        </w:rPr>
        <w:t>.</w:t>
      </w:r>
      <w:r w:rsidR="00655CB2"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Учреждение утверждает цены на платные услуги (работы) по согласованию с отраслевым (функциональным) органом Администрации, </w:t>
      </w:r>
      <w:r w:rsidR="004E7CC7" w:rsidRPr="005C1E81">
        <w:rPr>
          <w:rFonts w:ascii="Times New Roman" w:hAnsi="Times New Roman" w:cs="Times New Roman"/>
          <w:sz w:val="28"/>
          <w:szCs w:val="28"/>
        </w:rPr>
        <w:lastRenderedPageBreak/>
        <w:t>выполняющим функции и полномочия учредителя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, и </w:t>
      </w:r>
      <w:r w:rsidR="00655CB2" w:rsidRPr="005C1E81">
        <w:rPr>
          <w:rFonts w:ascii="Times New Roman" w:hAnsi="Times New Roman" w:cs="Times New Roman"/>
          <w:sz w:val="28"/>
          <w:szCs w:val="28"/>
        </w:rPr>
        <w:t>Управлением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655CB2" w:rsidRPr="005C1E81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276BBC" w:rsidRPr="005C1E8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01107" w:rsidRPr="005C1E81" w:rsidRDefault="00837888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8</w:t>
      </w:r>
      <w:r w:rsidR="00276BBC" w:rsidRPr="005C1E81">
        <w:rPr>
          <w:rFonts w:ascii="Times New Roman" w:hAnsi="Times New Roman" w:cs="Times New Roman"/>
          <w:sz w:val="28"/>
          <w:szCs w:val="28"/>
        </w:rPr>
        <w:t>. Цены на оказание платных услуг (работ) определяются на основе расчета экономически обоснованных затрат материальных и трудовых ресурсов (далее - затраты).</w:t>
      </w:r>
    </w:p>
    <w:p w:rsidR="00401107" w:rsidRPr="005C1E81" w:rsidRDefault="00837888" w:rsidP="00026580">
      <w:pPr>
        <w:pStyle w:val="a6"/>
        <w:tabs>
          <w:tab w:val="left" w:pos="85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9</w:t>
      </w:r>
      <w:r w:rsidR="00276BBC" w:rsidRPr="005C1E81">
        <w:rPr>
          <w:rFonts w:ascii="Times New Roman" w:hAnsi="Times New Roman" w:cs="Times New Roman"/>
          <w:sz w:val="28"/>
          <w:szCs w:val="28"/>
        </w:rPr>
        <w:t>. Учреждение, оказывающее (выполняющее) платные услуги (работы), обязано размещать в доступных для физических и юридических лиц местах информацию о перечне платных услуг (работ) и их цене по форме согласно следующей таблице:</w:t>
      </w:r>
    </w:p>
    <w:p w:rsidR="00276BBC" w:rsidRPr="005C1E81" w:rsidRDefault="00276BBC" w:rsidP="00401107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Информация о ценах на платные услуги (работы), оказываемые (выполняемые)</w:t>
      </w:r>
      <w:r w:rsidRPr="005C1E8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Pr="005C1E81">
        <w:rPr>
          <w:rFonts w:ascii="Times New Roman" w:hAnsi="Times New Roman" w:cs="Times New Roman"/>
          <w:sz w:val="28"/>
          <w:szCs w:val="28"/>
        </w:rPr>
        <w:br/>
        <w:t>(наименование муниципального бюджетного учреждения)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6641"/>
        <w:gridCol w:w="1915"/>
      </w:tblGrid>
      <w:tr w:rsidR="00276BBC" w:rsidRPr="005C1E81" w:rsidTr="00276BB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0110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64782D">
            <w:pPr>
              <w:pStyle w:val="a6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 (работы)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64782D">
            <w:pPr>
              <w:pStyle w:val="a6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64782D"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401107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276BB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6C2" w:rsidRPr="005C1E81" w:rsidRDefault="00E906C2" w:rsidP="00E906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E906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II. Определение цены</w:t>
      </w:r>
    </w:p>
    <w:p w:rsidR="00053829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 xml:space="preserve">Цена формируется на основе анализа себестоимости оказания (выполнения) платной услуги (работы) в предшествующие периоды, прогнозируемого уровня инфляции на предстоящий период, с учетом существующего и прогнозируемого объёма предложений и спроса на аналогичные рыночные услуги (работы), требований к качеству платной услуги (работы) в соответствии с показателями муниципального задания, а также с учетом положений, установленных нормативными правовыми актами Российской Федерации, </w:t>
      </w:r>
      <w:r w:rsidR="00053829" w:rsidRPr="005C1E8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C1E81">
        <w:rPr>
          <w:rFonts w:ascii="Times New Roman" w:hAnsi="Times New Roman" w:cs="Times New Roman"/>
          <w:sz w:val="28"/>
          <w:szCs w:val="28"/>
        </w:rPr>
        <w:t>, муниципальными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053829" w:rsidRPr="005C1E81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Pr="005C1E81">
        <w:rPr>
          <w:rFonts w:ascii="Times New Roman" w:hAnsi="Times New Roman" w:cs="Times New Roman"/>
          <w:sz w:val="28"/>
          <w:szCs w:val="28"/>
        </w:rPr>
        <w:t>по определению затрат на оказание (выполнение) платных услуг (работ), в том числе настоящим Порядком.</w:t>
      </w:r>
    </w:p>
    <w:p w:rsidR="00170D6D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11. Затраты учреждения делятся на затраты, непосредственно связанные с оказанием (выполнением) платных услуг (работ) и потребляемые в процессе их предоставления (прямые затраты), и затраты, необходимые для обеспечения деятельности учреждения в целом, но не потребляемые непосредственно в процессе оказания (выполнения) платных услуг (работ) (накладные затраты).</w:t>
      </w:r>
    </w:p>
    <w:p w:rsidR="00170D6D" w:rsidRPr="005C1E81" w:rsidRDefault="00276BBC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12. К прямым затратам относятся:</w:t>
      </w:r>
      <w:r w:rsidR="00170D6D" w:rsidRPr="005C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E5" w:rsidRPr="005C1E81" w:rsidRDefault="00017E3D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персонал, непосредственно участвующий в процессе оказания (выполнения) платной услуги (работы) (основной персонал), в том числе</w:t>
      </w:r>
      <w:r w:rsidR="00A34E95" w:rsidRPr="005C1E81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 на налоговые платежи, социальные выплаты, надбавки и иные платежи для персонала, установленные законодательством;</w:t>
      </w:r>
    </w:p>
    <w:p w:rsidR="00324AE5" w:rsidRPr="005C1E81" w:rsidRDefault="00017E3D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материальные запасы, полностью потребляемые в процессе оказания (выполнения)</w:t>
      </w:r>
      <w:r w:rsidR="00A34E95" w:rsidRPr="005C1E81">
        <w:rPr>
          <w:rFonts w:ascii="Times New Roman" w:hAnsi="Times New Roman" w:cs="Times New Roman"/>
          <w:sz w:val="28"/>
          <w:szCs w:val="28"/>
        </w:rPr>
        <w:t xml:space="preserve"> учреждением определенной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 платной услуги (работы);</w:t>
      </w:r>
    </w:p>
    <w:p w:rsidR="00324AE5" w:rsidRPr="005C1E81" w:rsidRDefault="00017E3D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приобретение услуг, необходимых для оказания (выполнения) платной услуги (работы) и полностью потребляемых в процессе оказания (выполнения)</w:t>
      </w:r>
      <w:r w:rsidR="00A34E95" w:rsidRPr="005C1E81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 определенной платной услуги (работы);</w:t>
      </w:r>
    </w:p>
    <w:p w:rsidR="00324AE5" w:rsidRPr="005C1E81" w:rsidRDefault="00017E3D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амортизацию оборудования, используемого в процессе оказания (выполнения) платной услуги (работы);</w:t>
      </w:r>
    </w:p>
    <w:p w:rsidR="00324AE5" w:rsidRPr="005C1E81" w:rsidRDefault="00017E3D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прочие расходы, отражающие специфику оказания (выполнения) платной услуги (работы).</w:t>
      </w:r>
    </w:p>
    <w:p w:rsidR="004A4231" w:rsidRPr="005C1E81" w:rsidRDefault="00276BBC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13. К накладным затратам относятся:</w:t>
      </w:r>
    </w:p>
    <w:p w:rsidR="004A4231" w:rsidRPr="005C1E81" w:rsidRDefault="004A4231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персонал учреждения, не участвующий непосредственно в процессе оказания (выполнения) платной услуги (работы) (далее - административно-хозяйственный персонал);</w:t>
      </w:r>
    </w:p>
    <w:p w:rsidR="004A4231" w:rsidRPr="005C1E81" w:rsidRDefault="004A4231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хозяйственные нужды - приобретение материальных запасов, оплату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3C1E11" w:rsidRPr="005C1E81" w:rsidRDefault="004A4231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уплату налогов (кроме налогов на фонд оплаты труда), пошлин и иные обязательные платежи;</w:t>
      </w:r>
    </w:p>
    <w:p w:rsidR="003C1E11" w:rsidRPr="005C1E81" w:rsidRDefault="003C1E11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амортизацию зданий, сооружений, оборудования и других основных фондов, которые полностью не потребляются в процессе оказания (выполнения) определенной платной услуги (работы) и используются также для осуществления иных видов деятельности, непосредственно не связанных с ее оказанием (выполнением).</w:t>
      </w:r>
    </w:p>
    <w:p w:rsidR="00276BBC" w:rsidRPr="005C1E81" w:rsidRDefault="00276BBC" w:rsidP="00170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14. Затраты на оказание (выполнение) платной услуги (работы) рассчитываются по формуле:</w:t>
      </w:r>
    </w:p>
    <w:p w:rsidR="00276BBC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Зпу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6130EE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6130EE" w:rsidRPr="005C1E81" w:rsidRDefault="006130EE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0EE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затраты на оказание (выполнение) платной услуги (работы);</w:t>
      </w:r>
    </w:p>
    <w:p w:rsidR="006130EE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затраты на основной персонал, непосредственно принимающий участие в оказании (выполнении) платной услуги (работы);</w:t>
      </w:r>
    </w:p>
    <w:p w:rsidR="00347D9E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прямые затраты на приобретение материальных запасов, потребляемых в процессе оказания (выполнения) платной услуги (работы);</w:t>
      </w:r>
    </w:p>
    <w:p w:rsidR="00347D9E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Зпу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прямые затраты на приобретение услуг, необходимых для оказания (выполнения) платной услуги (работы);</w:t>
      </w:r>
    </w:p>
    <w:p w:rsidR="00A00C7C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сумма начисленной амортизации оборудования, используемого при</w:t>
      </w:r>
      <w:r w:rsidR="00A00C7C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оказании (выполнении) платной услуги (работы);</w:t>
      </w:r>
    </w:p>
    <w:p w:rsidR="00A00C7C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накладные затраты, относимые на стоимость платной услуги (работы).</w:t>
      </w:r>
    </w:p>
    <w:p w:rsidR="000D3249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lastRenderedPageBreak/>
        <w:t>15. Затраты на основной персонал, непосредственно участвующий в процессе оказания (выполнения) платной услуги (работы), включают затраты на оплату труда и начисления на выплаты по оплате труда основного персонала.</w:t>
      </w:r>
    </w:p>
    <w:p w:rsidR="000D3249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Затраты на основной персонал, непосредственно участвующий в процессе оказания (выполнения) платной услуги (работы), рассчитываются по формуле:</w:t>
      </w:r>
    </w:p>
    <w:p w:rsidR="00276BBC" w:rsidRPr="005C1E81" w:rsidRDefault="00276BBC" w:rsidP="006130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249" w:rsidRPr="005C1E81" w:rsidRDefault="00276BBC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0D3249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300207" w:rsidRPr="005C1E81" w:rsidRDefault="00300207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207" w:rsidRPr="005C1E81" w:rsidRDefault="00276BBC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 по услуге (работе); </w:t>
      </w:r>
    </w:p>
    <w:p w:rsidR="00300207" w:rsidRPr="005C1E81" w:rsidRDefault="00276BBC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повременная (часовая, дневная, месячная) ставка оплаты труда (включая начисления на оплату труда). Часовая ставка оплаты труда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рассчитывается как отношение годовых затрат на оплату труда к количеству рабочих часов в год;</w:t>
      </w:r>
    </w:p>
    <w:p w:rsidR="00300207" w:rsidRPr="005C1E81" w:rsidRDefault="00276BBC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Тусл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норма рабочего времени, затрачиваемого основным персоналом на оказание (выполнение) платной услуги (работы).</w:t>
      </w:r>
    </w:p>
    <w:p w:rsidR="0002440D" w:rsidRPr="005C1E81" w:rsidRDefault="00276BBC" w:rsidP="000D32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Норма рабочего времени, затрачиваемого основным персоналом на оказание (выполнение) платной услуги (работы), может определяться двумя способами:</w:t>
      </w:r>
    </w:p>
    <w:p w:rsidR="0002440D" w:rsidRPr="005C1E81" w:rsidRDefault="00276BBC" w:rsidP="000244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а) на основе существующих норм и нормативов рабочего времени на проведение работ в рамках оказания (выполнения) платной услуги (работы);</w:t>
      </w:r>
    </w:p>
    <w:p w:rsidR="0002440D" w:rsidRPr="005C1E81" w:rsidRDefault="00276BBC" w:rsidP="000244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б) на основе фактических трудозатрат основного персонала на проведение работ в рамках оказания (выполнения) платной услуги (работы).</w:t>
      </w:r>
    </w:p>
    <w:p w:rsidR="00BB26FA" w:rsidRPr="005C1E81" w:rsidRDefault="00276BBC" w:rsidP="0002440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16. Прямые затраты на приобретение материальных запасов, потребляемых в процессе оказания (выполнения) платной услуги (работы), могут определяться двумя способами:</w:t>
      </w:r>
    </w:p>
    <w:p w:rsidR="00BB26FA" w:rsidRPr="005C1E81" w:rsidRDefault="00276BBC" w:rsidP="0002440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а) исходя из установленных в нормативных правовых и методических документах норм и нормативов использования материальных запасов на оказание (выполнение) платной услуги (работы) по формуле:</w:t>
      </w:r>
    </w:p>
    <w:p w:rsidR="00276BBC" w:rsidRPr="005C1E81" w:rsidRDefault="00276BBC" w:rsidP="0002440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BB26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SUM МЗ x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BB26FA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BB26FA" w:rsidRPr="005C1E81" w:rsidRDefault="00BB26FA" w:rsidP="00BB26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FA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МЗ - объем материальных запасов в натуральном выражении;</w:t>
      </w:r>
    </w:p>
    <w:p w:rsidR="000356B3" w:rsidRPr="005C1E81" w:rsidRDefault="00276BBC" w:rsidP="00BB26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- цена приобретаемых материальных запасов.</w:t>
      </w:r>
      <w:r w:rsidR="00BB26FA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 xml:space="preserve">Цена приобретаемых материальных запасов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устанавливается на уровне сложившейся в регионе средней рыночной стоимости приобретения таких запасов за отчетный период, определяемой на основе официальных статистических данных;</w:t>
      </w:r>
    </w:p>
    <w:p w:rsidR="00276BBC" w:rsidRPr="005C1E81" w:rsidRDefault="00276BBC" w:rsidP="00BB26F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б) на основе фактически сложившегося уровня использования материальных запасов за период, предшествующий плановому периоду, по формуле:</w:t>
      </w:r>
    </w:p>
    <w:p w:rsidR="000356B3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Гмз</w:t>
      </w:r>
      <w:proofErr w:type="spellEnd"/>
      <w:proofErr w:type="gramStart"/>
      <w:r w:rsidRPr="005C1E8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0356B3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0356B3" w:rsidRPr="005C1E81" w:rsidRDefault="000356B3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lastRenderedPageBreak/>
        <w:t>Гмз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годовые затраты на материальные запасы, потребляемые в процессе оказания (выполнения) платной услуги (работы);</w:t>
      </w: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А - количество оказанных (выполненных) платных услуг (работ) за год.</w:t>
      </w: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При определении затрат на материальные запасы, потребляемые в процессе оказания (выполнения) платной услуги (работы) (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Змз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>), учитываются только те затраты, которые непосредственно потребляются при оказании (выполнении) платной услуги (работы).</w:t>
      </w:r>
      <w:r w:rsidR="00A115A7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Если материальные запасы потребляются не только при оказании (выполнении) рассматриваемой платной услуги (работы), но и при оказании (выполнении) других услуг (работ), а также при осуществлении иных видов деятельности организации, то такие затраты относятся к накладным затратам (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>).</w:t>
      </w: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17. Прямые затраты на приобретение услуг, необходимых для оказания (выполнения) платной услуги (работы), могут определяться двумя способами:</w:t>
      </w: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а) исходя из установленных в нормативных правовых и методических документах норм и нормативов использования услуг на оказание (выполнение) платной услуги (работы) по формуле:</w:t>
      </w:r>
    </w:p>
    <w:p w:rsidR="00276BBC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A115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Зпу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SUM ПУ x 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A115A7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A115A7" w:rsidRPr="005C1E81" w:rsidRDefault="00A115A7" w:rsidP="00A115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5A7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ПУ - количество приобретаемых услуг, необходимых для оказания (выполнения) платной услуги (работы);</w:t>
      </w:r>
    </w:p>
    <w:p w:rsidR="00276BBC" w:rsidRPr="005C1E81" w:rsidRDefault="00276BBC" w:rsidP="00A115A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- цена приобретаемых услуг, необходимых для оказания (выполнения) платной услуги (работы).</w:t>
      </w:r>
      <w:r w:rsidR="00A115A7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Цена приобретаемых услуг устанавливается на уровне сложившейся в регионе средней рыночной стоимости таких услуг, определяемой на основе официальных статистических данных либо при отсутствии таких данных - на основе усредненных тарифов на такие услуги в регионе;</w:t>
      </w:r>
    </w:p>
    <w:p w:rsidR="00276BBC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б) на основе фактически сложившегося уровня затрат на приобретение услуг за период, предшествующий плановому периоду, по формуле:</w:t>
      </w:r>
    </w:p>
    <w:p w:rsidR="00276BBC" w:rsidRPr="005C1E81" w:rsidRDefault="00276BBC" w:rsidP="005153C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Зпу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Гпу</w:t>
      </w:r>
      <w:proofErr w:type="spellEnd"/>
      <w:proofErr w:type="gramStart"/>
      <w:r w:rsidRPr="005C1E8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5153C0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5153C0" w:rsidRPr="005C1E81" w:rsidRDefault="005153C0" w:rsidP="005153C0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3C0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Гпу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годовые затраты на приобретение услуг, необходимых для оказания (выполнения) платной услуги (работы);</w:t>
      </w:r>
    </w:p>
    <w:p w:rsidR="005153C0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А - количество оказанных (выполненных) платных услуг (работ) за год.</w:t>
      </w:r>
    </w:p>
    <w:p w:rsidR="00276BBC" w:rsidRPr="005C1E81" w:rsidRDefault="00276BBC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18. Прямые затраты на начисление амортизации оборудования, используемого для оказания (выполнения) платной услуги (работы), могут рассчитываться по формуле:</w:t>
      </w:r>
    </w:p>
    <w:p w:rsidR="005153C0" w:rsidRPr="005C1E81" w:rsidRDefault="005153C0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3C0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= ГА / 12 мес. / Т х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5153C0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5153C0" w:rsidRPr="005C1E81" w:rsidRDefault="005153C0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3C0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Аусл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прямые затраты на начисление амортизации оборудования, относимые на стоимость платной услуги (работы);</w:t>
      </w:r>
    </w:p>
    <w:p w:rsidR="005153C0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81">
        <w:rPr>
          <w:rFonts w:ascii="Times New Roman" w:hAnsi="Times New Roman" w:cs="Times New Roman"/>
          <w:sz w:val="28"/>
          <w:szCs w:val="28"/>
        </w:rPr>
        <w:lastRenderedPageBreak/>
        <w:t>ГА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- годовой объем износа оборудования, используемого только при оказании (выполнении) платной услуги (работы) по данным об общей сумме износа;</w:t>
      </w:r>
    </w:p>
    <w:p w:rsidR="005153C0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Т - среднемесячное рабочее время по данным производственного календаря;</w:t>
      </w:r>
    </w:p>
    <w:p w:rsidR="005E2087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Д - среднее время работы оборудования для оказания (выполнения) платной услуги (работы).</w:t>
      </w:r>
    </w:p>
    <w:p w:rsidR="00600A78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В случае если оборудование используется для других видов услуг (работ) или выделить виды деятельности, для которых используется оборудование, затруднительно, затраты на амортизацию такого оборудования учитываются в составе накладных затрат.</w:t>
      </w:r>
    </w:p>
    <w:p w:rsidR="00600A78" w:rsidRPr="005C1E81" w:rsidRDefault="00276BBC" w:rsidP="005153C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 xml:space="preserve">19. Объем накладных затрат относится на стоимость платной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(выполнения) платной услуги (работы), и рассчитывается по формуле: </w:t>
      </w:r>
    </w:p>
    <w:p w:rsidR="00C21E7D" w:rsidRPr="005C1E81" w:rsidRDefault="00276BBC" w:rsidP="00C21E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br/>
      </w:r>
      <w:r w:rsidR="001A57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4552" w:rsidRPr="005C1E81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="00294552" w:rsidRPr="005C1E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94552" w:rsidRPr="005C1E81">
        <w:rPr>
          <w:rFonts w:ascii="Times New Roman" w:hAnsi="Times New Roman" w:cs="Times New Roman"/>
          <w:sz w:val="28"/>
          <w:szCs w:val="28"/>
        </w:rPr>
        <w:t>k</w:t>
      </w:r>
      <w:r w:rsidR="00294552" w:rsidRPr="005C1E8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294552" w:rsidRPr="005C1E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4552" w:rsidRPr="005C1E8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94552" w:rsidRPr="005C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552" w:rsidRPr="005C1E81">
        <w:rPr>
          <w:rFonts w:ascii="Times New Roman" w:hAnsi="Times New Roman" w:cs="Times New Roman"/>
          <w:sz w:val="28"/>
          <w:szCs w:val="28"/>
        </w:rPr>
        <w:t>Зоп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>,</w:t>
      </w:r>
      <w:r w:rsidR="00C21E7D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8B05BB" w:rsidRPr="005C1E81" w:rsidRDefault="008B05BB" w:rsidP="00C21E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BC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1E81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C1E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</w:t>
      </w:r>
    </w:p>
    <w:p w:rsidR="008B05BB" w:rsidRPr="005C1E81" w:rsidRDefault="008B05BB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5BB" w:rsidRPr="005C1E81" w:rsidRDefault="00294552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8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5C1E8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="00276BBC" w:rsidRPr="005C1E81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="00276BBC" w:rsidRPr="005C1E81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="00276BBC" w:rsidRPr="005C1E81">
        <w:rPr>
          <w:rFonts w:ascii="Times New Roman" w:hAnsi="Times New Roman" w:cs="Times New Roman"/>
          <w:sz w:val="28"/>
          <w:szCs w:val="28"/>
        </w:rPr>
        <w:t xml:space="preserve"> +</w:t>
      </w:r>
      <w:r w:rsidR="008B05BB" w:rsidRPr="005C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5BB" w:rsidRPr="005C1E81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="008B05BB" w:rsidRPr="005C1E8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8B05BB" w:rsidRPr="005C1E81">
        <w:rPr>
          <w:rFonts w:ascii="Times New Roman" w:hAnsi="Times New Roman" w:cs="Times New Roman"/>
          <w:sz w:val="28"/>
          <w:szCs w:val="28"/>
        </w:rPr>
        <w:t>Аохн</w:t>
      </w:r>
      <w:proofErr w:type="spellEnd"/>
      <w:r w:rsidR="008B05BB" w:rsidRPr="005C1E81">
        <w:rPr>
          <w:rFonts w:ascii="Times New Roman" w:hAnsi="Times New Roman" w:cs="Times New Roman"/>
          <w:sz w:val="28"/>
          <w:szCs w:val="28"/>
        </w:rPr>
        <w:t xml:space="preserve"> + Знал) / SUM </w:t>
      </w:r>
      <w:proofErr w:type="spellStart"/>
      <w:r w:rsidR="008B05BB" w:rsidRPr="005C1E81">
        <w:rPr>
          <w:rFonts w:ascii="Times New Roman" w:hAnsi="Times New Roman" w:cs="Times New Roman"/>
          <w:sz w:val="28"/>
          <w:szCs w:val="28"/>
        </w:rPr>
        <w:t>Зопt</w:t>
      </w:r>
      <w:proofErr w:type="spellEnd"/>
      <w:r w:rsidR="00276BBC" w:rsidRPr="005C1E81">
        <w:rPr>
          <w:rFonts w:ascii="Times New Roman" w:hAnsi="Times New Roman" w:cs="Times New Roman"/>
          <w:sz w:val="28"/>
          <w:szCs w:val="28"/>
        </w:rPr>
        <w:t>,</w:t>
      </w:r>
      <w:r w:rsidR="008B05BB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="00276BBC" w:rsidRPr="005C1E81">
        <w:rPr>
          <w:rFonts w:ascii="Times New Roman" w:hAnsi="Times New Roman" w:cs="Times New Roman"/>
          <w:sz w:val="28"/>
          <w:szCs w:val="28"/>
        </w:rPr>
        <w:t>где:</w:t>
      </w:r>
    </w:p>
    <w:p w:rsidR="008B05BB" w:rsidRPr="005C1E81" w:rsidRDefault="008B05BB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0FC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Зауп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фактические затраты на административно-хозяйственный персонал за предшествующий период, скорректированные на прогнозируемое изменение численности административно-хозяйственного персонала, рост заработной платы и изменение начислений на выплаты по оплате труда;</w:t>
      </w:r>
    </w:p>
    <w:p w:rsidR="006420FC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Зохн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рост потребительских цен. </w:t>
      </w:r>
    </w:p>
    <w:p w:rsidR="006420FC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6420FC" w:rsidRPr="005C1E81" w:rsidRDefault="006420F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материальные и информационные ресурсы,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420FC" w:rsidRPr="005C1E81" w:rsidRDefault="006420F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коммунальные услуги, услуги связи, транспорта, услуги банков, затраты на прочие услуги, потребляемые учреждением при оказании (выполнении) платной услуги (работы) (с учетом удорожания оказываемых услуг);</w:t>
      </w:r>
    </w:p>
    <w:p w:rsidR="006420FC" w:rsidRPr="005C1E81" w:rsidRDefault="006420F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="00276BBC" w:rsidRPr="005C1E81">
        <w:rPr>
          <w:rFonts w:ascii="Times New Roman" w:hAnsi="Times New Roman" w:cs="Times New Roman"/>
          <w:sz w:val="28"/>
          <w:szCs w:val="28"/>
        </w:rPr>
        <w:t>затраты на содержание имущества, в том числе на охрану (обслуживание систем видеонаблюдения, тревожных кнопок, систем контроля доступа в здание и т.п.);</w:t>
      </w:r>
    </w:p>
    <w:p w:rsidR="00ED52BE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420FC"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>затраты на противопожарную безопасность (обслуживание оборудования, систем охранно-пожарной сигнализации и т.п.);</w:t>
      </w:r>
    </w:p>
    <w:p w:rsidR="00ED52BE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="00ED52BE"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>затраты на текущий ремонт по видам основных фондов, содержание прилегающей территории, арендную плату за пользование имуществом (в случае, если аренда необходима для оказания (выполнения) платной услуги (работы));</w:t>
      </w:r>
    </w:p>
    <w:p w:rsidR="00ED52BE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-</w:t>
      </w:r>
      <w:r w:rsidR="00ED52BE"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>затраты на уборку помещений, содержание транспорта, приобретение топлива для котельных, санитарную обработку помещений;</w:t>
      </w:r>
    </w:p>
    <w:p w:rsidR="00AE6C85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Аохн</w:t>
      </w:r>
      <w:proofErr w:type="spellEnd"/>
      <w:r w:rsidRPr="005C1E81">
        <w:rPr>
          <w:rFonts w:ascii="Times New Roman" w:hAnsi="Times New Roman" w:cs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AE6C85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Знал - прогнозируемые затраты на уплату налогов (за исключением налогов на фонд оплаты труда), пошлин и иных обязательных платежей;</w:t>
      </w:r>
    </w:p>
    <w:p w:rsidR="00AE6C85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E81">
        <w:rPr>
          <w:rFonts w:ascii="Times New Roman" w:hAnsi="Times New Roman" w:cs="Times New Roman"/>
          <w:sz w:val="28"/>
          <w:szCs w:val="28"/>
        </w:rPr>
        <w:t>Зоп</w:t>
      </w:r>
      <w:proofErr w:type="gramStart"/>
      <w:r w:rsidRPr="005C1E81">
        <w:rPr>
          <w:rFonts w:ascii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5C1E81">
        <w:rPr>
          <w:rFonts w:ascii="Times New Roman" w:hAnsi="Times New Roman" w:cs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 (в том числе начисления на выплаты по оплате труда).</w:t>
      </w:r>
    </w:p>
    <w:p w:rsidR="00AE6C85" w:rsidRPr="005C1E81" w:rsidRDefault="00276BBC" w:rsidP="008B05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20. Размер цены за оказание (выполнение) платной услуги (работы) определяется в соответствии с нижеприведенной таблицей: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84"/>
        <w:gridCol w:w="6591"/>
        <w:gridCol w:w="284"/>
        <w:gridCol w:w="1532"/>
        <w:gridCol w:w="98"/>
      </w:tblGrid>
      <w:tr w:rsidR="00276BBC" w:rsidRPr="005C1E81" w:rsidTr="0044590F">
        <w:trPr>
          <w:gridAfter w:val="1"/>
          <w:wAfter w:w="53" w:type="dxa"/>
          <w:trHeight w:val="15"/>
          <w:tblCellSpacing w:w="15" w:type="dxa"/>
        </w:trPr>
        <w:tc>
          <w:tcPr>
            <w:tcW w:w="709" w:type="dxa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845" w:type="dxa"/>
            <w:gridSpan w:val="2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:rsidR="00276BBC" w:rsidRPr="005C1E81" w:rsidRDefault="00276BBC" w:rsidP="00162D7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C1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4963F8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Цена (р</w:t>
            </w:r>
            <w:r w:rsidR="00276BBC" w:rsidRPr="005C1E8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на оплату труда основного персонала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на материальные запасы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Прямые затраты на приобретение услуг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Накладные затраты, относимые на оказание (выполнение) платной услуги (работы)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BBC" w:rsidRPr="005C1E81" w:rsidTr="0044590F">
        <w:trPr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vAlign w:val="center"/>
            <w:hideMark/>
          </w:tcPr>
          <w:p w:rsidR="00276BBC" w:rsidRPr="005C1E81" w:rsidRDefault="00276BBC" w:rsidP="00AE6C85">
            <w:pPr>
              <w:pStyle w:val="a6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>Цена за оказание (выпо</w:t>
            </w:r>
            <w:r w:rsidR="004963F8"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лнение) платной услуги (работы) </w:t>
            </w:r>
            <w:r w:rsidRPr="005C1E81">
              <w:rPr>
                <w:rFonts w:ascii="Times New Roman" w:hAnsi="Times New Roman" w:cs="Times New Roman"/>
                <w:sz w:val="28"/>
                <w:szCs w:val="28"/>
              </w:rPr>
              <w:t xml:space="preserve">(1 + 2 + 3 + 4 + 5)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76BBC" w:rsidRPr="005C1E81" w:rsidRDefault="00276BBC" w:rsidP="00AE6C85">
            <w:pPr>
              <w:pStyle w:val="a6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90F" w:rsidRPr="005C1E81" w:rsidRDefault="0044590F" w:rsidP="00162D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82D" w:rsidRPr="005C1E81" w:rsidRDefault="0064782D" w:rsidP="004459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590F" w:rsidRPr="005C1E81" w:rsidRDefault="0044590F" w:rsidP="004459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Заместитель г</w:t>
      </w:r>
      <w:r w:rsidR="00276BBC" w:rsidRPr="005C1E81">
        <w:rPr>
          <w:rFonts w:ascii="Times New Roman" w:hAnsi="Times New Roman" w:cs="Times New Roman"/>
          <w:sz w:val="28"/>
          <w:szCs w:val="28"/>
        </w:rPr>
        <w:t>лавы</w:t>
      </w:r>
      <w:r w:rsidRPr="005C1E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6BBC" w:rsidRPr="005C1E81" w:rsidRDefault="0044590F" w:rsidP="004459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1E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6BBC" w:rsidRPr="005C1E81">
        <w:rPr>
          <w:rFonts w:ascii="Times New Roman" w:hAnsi="Times New Roman" w:cs="Times New Roman"/>
          <w:sz w:val="28"/>
          <w:szCs w:val="28"/>
        </w:rPr>
        <w:t xml:space="preserve"> </w:t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ab/>
      </w:r>
      <w:r w:rsidRPr="005C1E8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C1E81">
        <w:rPr>
          <w:rFonts w:ascii="Times New Roman" w:hAnsi="Times New Roman" w:cs="Times New Roman"/>
          <w:sz w:val="28"/>
          <w:szCs w:val="28"/>
        </w:rPr>
        <w:tab/>
        <w:t xml:space="preserve">      А.О. Марченко</w:t>
      </w:r>
    </w:p>
    <w:sectPr w:rsidR="00276BBC" w:rsidRPr="005C1E81" w:rsidSect="002F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B8" w:rsidRDefault="00244BB8" w:rsidP="005C1E81">
      <w:pPr>
        <w:spacing w:after="0" w:line="240" w:lineRule="auto"/>
      </w:pPr>
      <w:r>
        <w:separator/>
      </w:r>
    </w:p>
  </w:endnote>
  <w:endnote w:type="continuationSeparator" w:id="0">
    <w:p w:rsidR="00244BB8" w:rsidRDefault="00244BB8" w:rsidP="005C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B8" w:rsidRDefault="00244BB8" w:rsidP="005C1E81">
      <w:pPr>
        <w:spacing w:after="0" w:line="240" w:lineRule="auto"/>
      </w:pPr>
      <w:r>
        <w:separator/>
      </w:r>
    </w:p>
  </w:footnote>
  <w:footnote w:type="continuationSeparator" w:id="0">
    <w:p w:rsidR="00244BB8" w:rsidRDefault="00244BB8" w:rsidP="005C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95A"/>
    <w:multiLevelType w:val="multilevel"/>
    <w:tmpl w:val="CF10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16CDD"/>
    <w:multiLevelType w:val="multilevel"/>
    <w:tmpl w:val="3E36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940D1"/>
    <w:multiLevelType w:val="multilevel"/>
    <w:tmpl w:val="CD4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26595"/>
    <w:multiLevelType w:val="multilevel"/>
    <w:tmpl w:val="B37C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81A63"/>
    <w:multiLevelType w:val="multilevel"/>
    <w:tmpl w:val="FB30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728C3"/>
    <w:multiLevelType w:val="multilevel"/>
    <w:tmpl w:val="064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B4E07"/>
    <w:multiLevelType w:val="multilevel"/>
    <w:tmpl w:val="56D2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124F4"/>
    <w:multiLevelType w:val="hybridMultilevel"/>
    <w:tmpl w:val="7548DF0A"/>
    <w:lvl w:ilvl="0" w:tplc="C742C5F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56EF699F"/>
    <w:multiLevelType w:val="multilevel"/>
    <w:tmpl w:val="9FEE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D38FE"/>
    <w:multiLevelType w:val="multilevel"/>
    <w:tmpl w:val="558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A3504"/>
    <w:multiLevelType w:val="multilevel"/>
    <w:tmpl w:val="3058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23350"/>
    <w:multiLevelType w:val="multilevel"/>
    <w:tmpl w:val="959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C23"/>
    <w:rsid w:val="000158B9"/>
    <w:rsid w:val="00017E3D"/>
    <w:rsid w:val="0002440D"/>
    <w:rsid w:val="00026580"/>
    <w:rsid w:val="000356B3"/>
    <w:rsid w:val="00053829"/>
    <w:rsid w:val="000D3249"/>
    <w:rsid w:val="000E0F98"/>
    <w:rsid w:val="00124DD0"/>
    <w:rsid w:val="00162D7C"/>
    <w:rsid w:val="00166DDD"/>
    <w:rsid w:val="00170D6D"/>
    <w:rsid w:val="00185B71"/>
    <w:rsid w:val="00185DA5"/>
    <w:rsid w:val="001871C0"/>
    <w:rsid w:val="001916BA"/>
    <w:rsid w:val="001939C2"/>
    <w:rsid w:val="001A5781"/>
    <w:rsid w:val="001B7225"/>
    <w:rsid w:val="001B7DEB"/>
    <w:rsid w:val="001F2DC0"/>
    <w:rsid w:val="00211B5A"/>
    <w:rsid w:val="00231481"/>
    <w:rsid w:val="00240E4E"/>
    <w:rsid w:val="00244BB8"/>
    <w:rsid w:val="00257CBF"/>
    <w:rsid w:val="00275461"/>
    <w:rsid w:val="00276BBC"/>
    <w:rsid w:val="00294552"/>
    <w:rsid w:val="002B67B8"/>
    <w:rsid w:val="002F4FDC"/>
    <w:rsid w:val="00300207"/>
    <w:rsid w:val="0030089F"/>
    <w:rsid w:val="00324AE5"/>
    <w:rsid w:val="00347D9E"/>
    <w:rsid w:val="00385CFE"/>
    <w:rsid w:val="003C1E11"/>
    <w:rsid w:val="003C7E50"/>
    <w:rsid w:val="00401107"/>
    <w:rsid w:val="00421C5D"/>
    <w:rsid w:val="00442BFA"/>
    <w:rsid w:val="0044590F"/>
    <w:rsid w:val="004963F8"/>
    <w:rsid w:val="004A4231"/>
    <w:rsid w:val="004E7CC7"/>
    <w:rsid w:val="005153C0"/>
    <w:rsid w:val="00522003"/>
    <w:rsid w:val="005717F5"/>
    <w:rsid w:val="005B4190"/>
    <w:rsid w:val="005C1E81"/>
    <w:rsid w:val="005D78D5"/>
    <w:rsid w:val="005E2087"/>
    <w:rsid w:val="00600A78"/>
    <w:rsid w:val="006130EE"/>
    <w:rsid w:val="00614581"/>
    <w:rsid w:val="00622F88"/>
    <w:rsid w:val="006420FC"/>
    <w:rsid w:val="0064782D"/>
    <w:rsid w:val="00655CB2"/>
    <w:rsid w:val="0068393C"/>
    <w:rsid w:val="00685F15"/>
    <w:rsid w:val="006A14EB"/>
    <w:rsid w:val="0070235B"/>
    <w:rsid w:val="00733A3B"/>
    <w:rsid w:val="00826EBB"/>
    <w:rsid w:val="00837888"/>
    <w:rsid w:val="00850A38"/>
    <w:rsid w:val="00857373"/>
    <w:rsid w:val="00863D46"/>
    <w:rsid w:val="008964B5"/>
    <w:rsid w:val="008964F4"/>
    <w:rsid w:val="008B05BB"/>
    <w:rsid w:val="008B3F09"/>
    <w:rsid w:val="008C3B56"/>
    <w:rsid w:val="008C61A0"/>
    <w:rsid w:val="00910B56"/>
    <w:rsid w:val="00971D74"/>
    <w:rsid w:val="009A14BC"/>
    <w:rsid w:val="00A00C7C"/>
    <w:rsid w:val="00A115A7"/>
    <w:rsid w:val="00A31C8C"/>
    <w:rsid w:val="00A34E95"/>
    <w:rsid w:val="00A811F1"/>
    <w:rsid w:val="00A86F0E"/>
    <w:rsid w:val="00AB4C53"/>
    <w:rsid w:val="00AE408E"/>
    <w:rsid w:val="00AE6C85"/>
    <w:rsid w:val="00AF7817"/>
    <w:rsid w:val="00B440EC"/>
    <w:rsid w:val="00BA0789"/>
    <w:rsid w:val="00BB26FA"/>
    <w:rsid w:val="00BD5CB1"/>
    <w:rsid w:val="00BF0556"/>
    <w:rsid w:val="00BF7DB2"/>
    <w:rsid w:val="00C21E7D"/>
    <w:rsid w:val="00C318DB"/>
    <w:rsid w:val="00C3355B"/>
    <w:rsid w:val="00CC15CE"/>
    <w:rsid w:val="00D8368B"/>
    <w:rsid w:val="00DB14CE"/>
    <w:rsid w:val="00DB6C23"/>
    <w:rsid w:val="00DD211A"/>
    <w:rsid w:val="00DD3861"/>
    <w:rsid w:val="00E45CE6"/>
    <w:rsid w:val="00E906C2"/>
    <w:rsid w:val="00ED30B8"/>
    <w:rsid w:val="00ED52BE"/>
    <w:rsid w:val="00EE19E1"/>
    <w:rsid w:val="00F14C2F"/>
    <w:rsid w:val="00F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DC"/>
  </w:style>
  <w:style w:type="paragraph" w:styleId="1">
    <w:name w:val="heading 1"/>
    <w:basedOn w:val="a"/>
    <w:next w:val="a"/>
    <w:link w:val="10"/>
    <w:uiPriority w:val="9"/>
    <w:qFormat/>
    <w:rsid w:val="00BA0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6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C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B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6C23"/>
    <w:rPr>
      <w:b/>
      <w:bCs/>
    </w:rPr>
  </w:style>
  <w:style w:type="character" w:styleId="a5">
    <w:name w:val="Emphasis"/>
    <w:basedOn w:val="a0"/>
    <w:uiPriority w:val="20"/>
    <w:qFormat/>
    <w:rsid w:val="00DB6C23"/>
    <w:rPr>
      <w:i/>
      <w:iCs/>
    </w:rPr>
  </w:style>
  <w:style w:type="paragraph" w:styleId="a6">
    <w:name w:val="No Spacing"/>
    <w:uiPriority w:val="1"/>
    <w:qFormat/>
    <w:rsid w:val="003C7E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0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F7817"/>
    <w:pPr>
      <w:ind w:left="720"/>
      <w:contextualSpacing/>
    </w:pPr>
  </w:style>
  <w:style w:type="character" w:customStyle="1" w:styleId="a8">
    <w:name w:val="Цветовое выделение"/>
    <w:uiPriority w:val="99"/>
    <w:rsid w:val="00AF7817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AF7817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F78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F7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basedOn w:val="a"/>
    <w:rsid w:val="008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76BB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8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71C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C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1E81"/>
  </w:style>
  <w:style w:type="paragraph" w:styleId="af1">
    <w:name w:val="footer"/>
    <w:basedOn w:val="a"/>
    <w:link w:val="af2"/>
    <w:uiPriority w:val="99"/>
    <w:semiHidden/>
    <w:unhideWhenUsed/>
    <w:rsid w:val="005C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1E81"/>
  </w:style>
  <w:style w:type="paragraph" w:styleId="af3">
    <w:name w:val="Body Text"/>
    <w:basedOn w:val="a"/>
    <w:link w:val="af4"/>
    <w:uiPriority w:val="99"/>
    <w:semiHidden/>
    <w:unhideWhenUsed/>
    <w:rsid w:val="00244B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44B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5065-9FB1-418F-ABCD-FAFDD46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гундоровавм</cp:lastModifiedBy>
  <cp:revision>65</cp:revision>
  <cp:lastPrinted>2015-01-12T07:41:00Z</cp:lastPrinted>
  <dcterms:created xsi:type="dcterms:W3CDTF">2014-11-12T09:04:00Z</dcterms:created>
  <dcterms:modified xsi:type="dcterms:W3CDTF">2015-01-12T07:41:00Z</dcterms:modified>
</cp:coreProperties>
</file>