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2" w:rsidRPr="00396092" w:rsidRDefault="00396092" w:rsidP="00396092">
      <w:pPr>
        <w:ind w:left="57" w:firstLine="709"/>
        <w:jc w:val="center"/>
        <w:rPr>
          <w:sz w:val="27"/>
          <w:szCs w:val="27"/>
        </w:rPr>
      </w:pPr>
      <w:r w:rsidRPr="00396092">
        <w:rPr>
          <w:sz w:val="27"/>
          <w:szCs w:val="27"/>
        </w:rPr>
        <w:t>ИЗВЕЩЕНИЕ</w:t>
      </w:r>
    </w:p>
    <w:p w:rsidR="00396092" w:rsidRPr="00396092" w:rsidRDefault="00396092" w:rsidP="00396092">
      <w:pPr>
        <w:ind w:left="57" w:firstLine="709"/>
        <w:jc w:val="center"/>
        <w:rPr>
          <w:sz w:val="27"/>
          <w:szCs w:val="27"/>
        </w:rPr>
      </w:pPr>
      <w:r w:rsidRPr="00396092">
        <w:rPr>
          <w:sz w:val="27"/>
          <w:szCs w:val="27"/>
        </w:rPr>
        <w:t>о проведении открытого конкурса по отбору управляющей организации для управления многоквартирным домом</w:t>
      </w:r>
    </w:p>
    <w:p w:rsidR="00396092" w:rsidRPr="00396092" w:rsidRDefault="00396092" w:rsidP="00396092">
      <w:pPr>
        <w:rPr>
          <w:b/>
          <w:sz w:val="27"/>
          <w:szCs w:val="27"/>
        </w:rPr>
      </w:pPr>
    </w:p>
    <w:p w:rsidR="00396092" w:rsidRPr="00396092" w:rsidRDefault="00396092" w:rsidP="00396092">
      <w:pPr>
        <w:ind w:firstLine="708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Администрация Марксовского муниципального района Саратовской области (организатор конкурса) сообщает о проведении открытого конкурса по отбору управляющей организации для управления  многоквартирными домами, расположенными на территории Марксовского муниципального района, способ управления которыми собственниками помещений в соответствии с действующим законодательством не выбран, либо избранный собственниками помещений способ управления многоквартирным домом не реализован.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Основание проведения открытого конкурса:</w:t>
      </w:r>
    </w:p>
    <w:p w:rsidR="00396092" w:rsidRPr="00396092" w:rsidRDefault="00396092" w:rsidP="00396092">
      <w:pPr>
        <w:ind w:left="57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собственники помещений в многоквартирном доме, право на управление общим имуществом которого является предметом конкурса, не избрали в соответствии со ст. 161 Жилищного кодекса Российской Федерации способ управления многоквартирным домом, либо избранный собственниками помещений способ управления многоквартирным домом не реализован. </w:t>
      </w:r>
      <w:proofErr w:type="gramStart"/>
      <w:r w:rsidRPr="00396092">
        <w:rPr>
          <w:sz w:val="27"/>
          <w:szCs w:val="27"/>
        </w:rPr>
        <w:t>Конкурс проводится на основании Постановления Правительства Российской Федерации от 6 февраля 2006 г.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Марксовского муниципального района Саратовской области от 5 октября 2011 года № 2470-н «О создании постоянно действующей конкурсной комиссии для проведения открытого конкурса по отбору управляющей организации для управления</w:t>
      </w:r>
      <w:proofErr w:type="gramEnd"/>
      <w:r w:rsidRPr="00396092">
        <w:rPr>
          <w:sz w:val="27"/>
          <w:szCs w:val="27"/>
        </w:rPr>
        <w:t xml:space="preserve"> многоквартирным домом»  (с изменениями от 10 сентября 2012 года № 2517-н, от 25 сентября 2013 года № 2559-н, от 4 сентября 2015 г. № 1527-н, от 25 января 2017 г. № 84-н, от 24 ноября 2017 года № 2136-н, от 9 июня 2018 года № 935-н, от 31 января 2019 года № 167-н, от 22 июня 2021 года № 1086-н</w:t>
      </w:r>
      <w:proofErr w:type="gramStart"/>
      <w:r w:rsidRPr="00396092">
        <w:rPr>
          <w:sz w:val="27"/>
          <w:szCs w:val="27"/>
        </w:rPr>
        <w:t>,о</w:t>
      </w:r>
      <w:proofErr w:type="gramEnd"/>
      <w:r w:rsidRPr="00396092">
        <w:rPr>
          <w:sz w:val="27"/>
          <w:szCs w:val="27"/>
        </w:rPr>
        <w:t>т 15 июня 2023 года № 1000-н).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Организатор конкурса</w:t>
      </w:r>
      <w:r w:rsidRPr="00396092">
        <w:rPr>
          <w:b/>
          <w:sz w:val="27"/>
          <w:szCs w:val="27"/>
        </w:rPr>
        <w:t xml:space="preserve"> – </w:t>
      </w:r>
      <w:r w:rsidRPr="00396092">
        <w:rPr>
          <w:sz w:val="27"/>
          <w:szCs w:val="27"/>
        </w:rPr>
        <w:t>Администрация Марксовского муниципального района Саратовской области.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  <w:u w:val="single"/>
        </w:rPr>
      </w:pPr>
      <w:r w:rsidRPr="00396092">
        <w:rPr>
          <w:sz w:val="27"/>
          <w:szCs w:val="27"/>
        </w:rPr>
        <w:t xml:space="preserve">Адрес электронной почты: </w:t>
      </w:r>
      <w:proofErr w:type="spellStart"/>
      <w:r w:rsidRPr="00396092">
        <w:rPr>
          <w:sz w:val="27"/>
          <w:szCs w:val="27"/>
          <w:lang w:val="en-US"/>
        </w:rPr>
        <w:t>marksadm</w:t>
      </w:r>
      <w:proofErr w:type="spellEnd"/>
      <w:r w:rsidRPr="00396092">
        <w:rPr>
          <w:sz w:val="27"/>
          <w:szCs w:val="27"/>
        </w:rPr>
        <w:t>@</w:t>
      </w:r>
      <w:r w:rsidRPr="00396092">
        <w:rPr>
          <w:sz w:val="27"/>
          <w:szCs w:val="27"/>
          <w:lang w:val="en-US"/>
        </w:rPr>
        <w:t>mail</w:t>
      </w:r>
      <w:r w:rsidRPr="00396092">
        <w:rPr>
          <w:sz w:val="27"/>
          <w:szCs w:val="27"/>
        </w:rPr>
        <w:t>.</w:t>
      </w:r>
      <w:r w:rsidRPr="00396092">
        <w:rPr>
          <w:sz w:val="27"/>
          <w:szCs w:val="27"/>
          <w:lang w:val="en-US"/>
        </w:rPr>
        <w:t>ru</w:t>
      </w:r>
    </w:p>
    <w:p w:rsidR="00396092" w:rsidRPr="00396092" w:rsidRDefault="00396092" w:rsidP="00396092">
      <w:pPr>
        <w:ind w:left="57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Почтовый адрес и адрес местонахождения: </w:t>
      </w:r>
    </w:p>
    <w:p w:rsidR="00396092" w:rsidRPr="00396092" w:rsidRDefault="00396092" w:rsidP="00396092">
      <w:pPr>
        <w:ind w:left="57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413090,</w:t>
      </w:r>
      <w:r w:rsidRPr="00396092">
        <w:rPr>
          <w:b/>
          <w:sz w:val="27"/>
          <w:szCs w:val="27"/>
        </w:rPr>
        <w:t xml:space="preserve"> </w:t>
      </w:r>
      <w:proofErr w:type="gramStart"/>
      <w:r w:rsidRPr="00396092">
        <w:rPr>
          <w:sz w:val="27"/>
          <w:szCs w:val="27"/>
        </w:rPr>
        <w:t>Саратовская</w:t>
      </w:r>
      <w:proofErr w:type="gramEnd"/>
      <w:r w:rsidRPr="00396092">
        <w:rPr>
          <w:sz w:val="27"/>
          <w:szCs w:val="27"/>
        </w:rPr>
        <w:t xml:space="preserve"> обл., г. Маркс, пр. Ленина, д. 20, каб. 22.</w:t>
      </w:r>
    </w:p>
    <w:p w:rsidR="00396092" w:rsidRPr="00396092" w:rsidRDefault="00396092" w:rsidP="00396092">
      <w:pPr>
        <w:ind w:left="57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Контактные лица и телефоны: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Шевела Вячеслав Владимирович, (84567) 5-16-06;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Захарова Елизавета Алексеевна, (84567) 5-10-33.</w:t>
      </w:r>
    </w:p>
    <w:p w:rsidR="00396092" w:rsidRPr="00396092" w:rsidRDefault="00396092" w:rsidP="00396092">
      <w:pPr>
        <w:ind w:left="57" w:firstLine="709"/>
        <w:jc w:val="center"/>
        <w:rPr>
          <w:sz w:val="27"/>
          <w:szCs w:val="27"/>
        </w:rPr>
      </w:pPr>
      <w:r w:rsidRPr="00396092">
        <w:rPr>
          <w:sz w:val="27"/>
          <w:szCs w:val="27"/>
        </w:rPr>
        <w:t xml:space="preserve">Размещение конкурсной документации </w:t>
      </w:r>
    </w:p>
    <w:p w:rsidR="00396092" w:rsidRPr="00396092" w:rsidRDefault="00396092" w:rsidP="00396092">
      <w:pPr>
        <w:ind w:left="57" w:firstLine="709"/>
        <w:jc w:val="center"/>
        <w:rPr>
          <w:sz w:val="27"/>
          <w:szCs w:val="27"/>
        </w:rPr>
      </w:pPr>
      <w:r w:rsidRPr="00396092">
        <w:rPr>
          <w:sz w:val="27"/>
          <w:szCs w:val="27"/>
        </w:rPr>
        <w:t>и порядок её предоставления</w:t>
      </w:r>
    </w:p>
    <w:p w:rsidR="00396092" w:rsidRPr="00396092" w:rsidRDefault="00396092" w:rsidP="00396092">
      <w:pPr>
        <w:ind w:left="57" w:firstLine="709"/>
        <w:jc w:val="center"/>
        <w:rPr>
          <w:b/>
          <w:sz w:val="27"/>
          <w:szCs w:val="27"/>
        </w:rPr>
      </w:pPr>
    </w:p>
    <w:p w:rsidR="00396092" w:rsidRPr="00396092" w:rsidRDefault="00396092" w:rsidP="00396092">
      <w:pPr>
        <w:ind w:left="57" w:firstLine="709"/>
        <w:jc w:val="both"/>
        <w:rPr>
          <w:b/>
          <w:sz w:val="27"/>
          <w:szCs w:val="27"/>
        </w:rPr>
      </w:pPr>
      <w:r w:rsidRPr="00396092">
        <w:rPr>
          <w:sz w:val="27"/>
          <w:szCs w:val="27"/>
        </w:rPr>
        <w:t xml:space="preserve">Конкурсная документация размещена организатором конкурса на сайте: </w:t>
      </w:r>
      <w:r w:rsidRPr="00396092">
        <w:rPr>
          <w:sz w:val="27"/>
          <w:szCs w:val="27"/>
          <w:lang w:val="en-US"/>
        </w:rPr>
        <w:t>www</w:t>
      </w:r>
      <w:r w:rsidRPr="00396092">
        <w:rPr>
          <w:sz w:val="27"/>
          <w:szCs w:val="27"/>
        </w:rPr>
        <w:t>.</w:t>
      </w:r>
      <w:proofErr w:type="spellStart"/>
      <w:r w:rsidRPr="00396092">
        <w:rPr>
          <w:sz w:val="27"/>
          <w:szCs w:val="27"/>
          <w:lang w:val="en-US"/>
        </w:rPr>
        <w:t>torgi</w:t>
      </w:r>
      <w:proofErr w:type="spellEnd"/>
      <w:r w:rsidRPr="00396092">
        <w:rPr>
          <w:sz w:val="27"/>
          <w:szCs w:val="27"/>
        </w:rPr>
        <w:t>.</w:t>
      </w:r>
      <w:proofErr w:type="spellStart"/>
      <w:r w:rsidRPr="00396092">
        <w:rPr>
          <w:sz w:val="27"/>
          <w:szCs w:val="27"/>
          <w:lang w:val="en-US"/>
        </w:rPr>
        <w:t>gov</w:t>
      </w:r>
      <w:proofErr w:type="spellEnd"/>
      <w:r w:rsidRPr="00396092">
        <w:rPr>
          <w:sz w:val="27"/>
          <w:szCs w:val="27"/>
        </w:rPr>
        <w:t>.</w:t>
      </w:r>
      <w:r w:rsidRPr="00396092">
        <w:rPr>
          <w:sz w:val="27"/>
          <w:szCs w:val="27"/>
          <w:lang w:val="en-US"/>
        </w:rPr>
        <w:t>ru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Конкурсная документация направляется организатором конкурса заинтересованным лицам в электронном виде по электронной почте в течение 2 (двух) рабочих дней со дня поступления соответствующего запроса. Запрос на предоставление конкурсной документации в электронном виде может быть </w:t>
      </w:r>
      <w:r w:rsidRPr="00396092">
        <w:rPr>
          <w:sz w:val="27"/>
          <w:szCs w:val="27"/>
        </w:rPr>
        <w:lastRenderedPageBreak/>
        <w:t xml:space="preserve">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конкурса. Предоставление конкурсной документации по электронной почте производится без взимания платы. 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  Конкурсная документация может быть представлена в электронном виде любому заинтересованному лицу, явившемуся к организатору конкурса лично либо направившему своего представителя, непосредственно в день обращения. В данном случае конкурсная документация предоставляется бесплатно на носитель, представленный заинтересованным лицом. </w:t>
      </w:r>
    </w:p>
    <w:p w:rsidR="00396092" w:rsidRPr="00396092" w:rsidRDefault="00396092" w:rsidP="00396092">
      <w:pPr>
        <w:pBdr>
          <w:bottom w:val="single" w:sz="12" w:space="6" w:color="auto"/>
        </w:pBd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При направлении конкурсной документации в письменном виде по почте организатор конкурса  не берет на себя ответственность за утерю или вручение с опозданием конкурсной документации. 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Заявки на участие в конкурсе могут быть представлены только в письменной форме по адресу:</w:t>
      </w:r>
    </w:p>
    <w:p w:rsidR="00396092" w:rsidRPr="00396092" w:rsidRDefault="00396092" w:rsidP="00396092">
      <w:pPr>
        <w:ind w:left="57" w:firstLine="709"/>
        <w:jc w:val="both"/>
        <w:rPr>
          <w:bCs/>
          <w:sz w:val="27"/>
          <w:szCs w:val="27"/>
        </w:rPr>
      </w:pPr>
      <w:r w:rsidRPr="00396092">
        <w:rPr>
          <w:sz w:val="27"/>
          <w:szCs w:val="27"/>
        </w:rPr>
        <w:t xml:space="preserve">413090, </w:t>
      </w:r>
      <w:proofErr w:type="gramStart"/>
      <w:r w:rsidRPr="00396092">
        <w:rPr>
          <w:sz w:val="27"/>
          <w:szCs w:val="27"/>
        </w:rPr>
        <w:t>Саратовская</w:t>
      </w:r>
      <w:proofErr w:type="gramEnd"/>
      <w:r w:rsidRPr="00396092">
        <w:rPr>
          <w:sz w:val="27"/>
          <w:szCs w:val="27"/>
        </w:rPr>
        <w:t xml:space="preserve"> обл., г. Маркс, пр. Ленина, д. 20, каб</w:t>
      </w:r>
      <w:r w:rsidRPr="00396092">
        <w:rPr>
          <w:bCs/>
          <w:sz w:val="27"/>
          <w:szCs w:val="27"/>
        </w:rPr>
        <w:t>. 22.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Начало приема заявок – «23» августа 2024 года.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Срок окончания приема заявок - 11 часов «23» сентября 2024 года.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Заявка на участие в конкурсе представляется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представляются организатору конкурса в запечатанных конвертах.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</w:p>
    <w:p w:rsidR="00396092" w:rsidRPr="00396092" w:rsidRDefault="00396092" w:rsidP="00396092">
      <w:pPr>
        <w:jc w:val="center"/>
        <w:rPr>
          <w:sz w:val="27"/>
          <w:szCs w:val="27"/>
        </w:rPr>
      </w:pPr>
      <w:r w:rsidRPr="00396092">
        <w:rPr>
          <w:sz w:val="27"/>
          <w:szCs w:val="27"/>
        </w:rPr>
        <w:t>Размер обеспечения заявки на участие в конкурсе составляет:</w:t>
      </w:r>
    </w:p>
    <w:p w:rsidR="00396092" w:rsidRPr="00396092" w:rsidRDefault="00396092" w:rsidP="00396092">
      <w:pPr>
        <w:rPr>
          <w:sz w:val="27"/>
          <w:szCs w:val="27"/>
        </w:rPr>
      </w:pPr>
    </w:p>
    <w:tbl>
      <w:tblPr>
        <w:tblW w:w="0" w:type="auto"/>
        <w:jc w:val="center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6731"/>
      </w:tblGrid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№  Лота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Размер обеспечения заявки на участие в конкурсе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496,25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618,70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1792,35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443,26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584,85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1068,13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1804,35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1811,85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2863,41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614,10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766,53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2072,02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368,18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487,60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357,56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359,35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510,20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646,43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474,35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487,97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475,73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1298,58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567,36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228,47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1090,66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    26.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267,66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    27.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513,57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    28.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935,67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tabs>
                <w:tab w:val="left" w:pos="1039"/>
              </w:tabs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    29.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868,08</w:t>
            </w:r>
          </w:p>
        </w:tc>
      </w:tr>
      <w:tr w:rsidR="00396092" w:rsidRPr="00396092" w:rsidTr="00396092">
        <w:trPr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    30.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894,36</w:t>
            </w:r>
          </w:p>
        </w:tc>
      </w:tr>
    </w:tbl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Вскрытие конвертов с заявками будет производиться конкурсной комиссией «26» сентября 2024 года в 11 ч. 15 мин. по адресу: </w:t>
      </w:r>
      <w:proofErr w:type="gramStart"/>
      <w:r w:rsidRPr="00396092">
        <w:rPr>
          <w:sz w:val="27"/>
          <w:szCs w:val="27"/>
        </w:rPr>
        <w:t>Саратовская</w:t>
      </w:r>
      <w:proofErr w:type="gramEnd"/>
      <w:r w:rsidRPr="00396092">
        <w:rPr>
          <w:sz w:val="27"/>
          <w:szCs w:val="27"/>
        </w:rPr>
        <w:t xml:space="preserve"> обл., г. Маркс, пр. Ленина, д. 20, кабинет № 22.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Начало рассмотрения конкурсной комиссией заявок на участие в конкурсе «26» сентября 2024 года в 11 ч. 30 мин. 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 xml:space="preserve">Окончание рассмотрения конкурсной комиссией заявок на участие в конкурсе «30» сентября 2024 года в 10 ч. 00 мин.  по адресу:  </w:t>
      </w:r>
      <w:proofErr w:type="gramStart"/>
      <w:r w:rsidRPr="00396092">
        <w:rPr>
          <w:sz w:val="27"/>
          <w:szCs w:val="27"/>
        </w:rPr>
        <w:t>Саратовская</w:t>
      </w:r>
      <w:proofErr w:type="gramEnd"/>
      <w:r w:rsidRPr="00396092">
        <w:rPr>
          <w:sz w:val="27"/>
          <w:szCs w:val="27"/>
        </w:rPr>
        <w:t xml:space="preserve"> обл., г. Маркс, пр. Ленина, д. 20,  кабинет № 22.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Место, дата и время проведения конкурса:</w:t>
      </w:r>
      <w:r w:rsidRPr="00396092">
        <w:rPr>
          <w:b/>
          <w:sz w:val="27"/>
          <w:szCs w:val="27"/>
        </w:rPr>
        <w:t xml:space="preserve"> </w:t>
      </w:r>
      <w:r w:rsidRPr="00396092">
        <w:rPr>
          <w:sz w:val="27"/>
          <w:szCs w:val="27"/>
        </w:rPr>
        <w:t>конкурс</w:t>
      </w:r>
      <w:r w:rsidRPr="00396092">
        <w:rPr>
          <w:b/>
          <w:sz w:val="27"/>
          <w:szCs w:val="27"/>
        </w:rPr>
        <w:t xml:space="preserve"> </w:t>
      </w:r>
      <w:r w:rsidRPr="00396092">
        <w:rPr>
          <w:sz w:val="27"/>
          <w:szCs w:val="27"/>
        </w:rPr>
        <w:t xml:space="preserve">будет производиться «1» октября 2024 года в 10 ч. 00 мин. по адресу:  </w:t>
      </w:r>
      <w:proofErr w:type="gramStart"/>
      <w:r w:rsidRPr="00396092">
        <w:rPr>
          <w:sz w:val="27"/>
          <w:szCs w:val="27"/>
        </w:rPr>
        <w:t>Саратовская</w:t>
      </w:r>
      <w:proofErr w:type="gramEnd"/>
      <w:r w:rsidRPr="00396092">
        <w:rPr>
          <w:sz w:val="27"/>
          <w:szCs w:val="27"/>
        </w:rPr>
        <w:t xml:space="preserve"> обл., г. Маркс, пр. Ленина, д. 20, кабинет № 22.</w:t>
      </w:r>
    </w:p>
    <w:p w:rsidR="00396092" w:rsidRPr="00396092" w:rsidRDefault="00396092" w:rsidP="00396092">
      <w:pPr>
        <w:ind w:left="57" w:firstLine="709"/>
        <w:jc w:val="both"/>
        <w:rPr>
          <w:sz w:val="27"/>
          <w:szCs w:val="27"/>
        </w:rPr>
      </w:pPr>
    </w:p>
    <w:p w:rsidR="00396092" w:rsidRPr="00396092" w:rsidRDefault="00396092" w:rsidP="00396092">
      <w:pPr>
        <w:jc w:val="center"/>
        <w:rPr>
          <w:sz w:val="27"/>
          <w:szCs w:val="27"/>
        </w:rPr>
      </w:pPr>
      <w:r w:rsidRPr="00396092">
        <w:rPr>
          <w:sz w:val="27"/>
          <w:szCs w:val="27"/>
        </w:rPr>
        <w:t>Размер платы за содержание и ремонт:</w:t>
      </w:r>
    </w:p>
    <w:p w:rsidR="00396092" w:rsidRPr="00396092" w:rsidRDefault="00396092" w:rsidP="00396092">
      <w:pPr>
        <w:jc w:val="center"/>
        <w:rPr>
          <w:sz w:val="27"/>
          <w:szCs w:val="27"/>
        </w:rPr>
      </w:pPr>
    </w:p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5237"/>
        <w:gridCol w:w="1822"/>
        <w:gridCol w:w="1972"/>
      </w:tblGrid>
      <w:tr w:rsidR="00396092" w:rsidRPr="00396092" w:rsidTr="00396092">
        <w:trPr>
          <w:trHeight w:val="131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96092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396092">
              <w:rPr>
                <w:sz w:val="27"/>
                <w:szCs w:val="27"/>
              </w:rPr>
              <w:t>/</w:t>
            </w:r>
            <w:proofErr w:type="spellStart"/>
            <w:r w:rsidRPr="00396092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Адрес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Размер платы за содержание и ремонт руб. за 1 кв. м в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Размер платы за содержание и ремонт руб. за 1 кв. м в месяц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ind w:left="78"/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4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  <w:bookmarkStart w:id="0" w:name="_GoBack" w:colFirst="2" w:colLast="2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Ленина, д. 28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Ленина, д. 109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Ленина, д.68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Ленина, д.100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150,96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12,58</w:t>
            </w:r>
          </w:p>
        </w:tc>
      </w:tr>
      <w:bookmarkEnd w:id="0"/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Строителей, д. 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101,64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8,47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Строителей, д. 21А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145,20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12,10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Строителей, д. 31Б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Строителей, д. 41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145,20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12,10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пр. Строителей, д. 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10-я линия, д. 53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г. Маркс, ул. </w:t>
            </w:r>
            <w:proofErr w:type="gramStart"/>
            <w:r w:rsidRPr="00396092">
              <w:rPr>
                <w:sz w:val="27"/>
                <w:szCs w:val="27"/>
              </w:rPr>
              <w:t>Воинская</w:t>
            </w:r>
            <w:proofErr w:type="gramEnd"/>
            <w:r w:rsidRPr="00396092">
              <w:rPr>
                <w:sz w:val="27"/>
                <w:szCs w:val="27"/>
              </w:rPr>
              <w:t>, д. 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138,00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11,50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г. Маркс, ул. </w:t>
            </w:r>
            <w:proofErr w:type="gramStart"/>
            <w:r w:rsidRPr="00396092">
              <w:rPr>
                <w:sz w:val="27"/>
                <w:szCs w:val="27"/>
              </w:rPr>
              <w:t>Воинская</w:t>
            </w:r>
            <w:proofErr w:type="gramEnd"/>
            <w:r w:rsidRPr="00396092">
              <w:rPr>
                <w:sz w:val="27"/>
                <w:szCs w:val="27"/>
              </w:rPr>
              <w:t>, д. 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г. Маркс, ул. </w:t>
            </w:r>
            <w:proofErr w:type="gramStart"/>
            <w:r w:rsidRPr="00396092">
              <w:rPr>
                <w:sz w:val="27"/>
                <w:szCs w:val="27"/>
              </w:rPr>
              <w:t>Интернациональная</w:t>
            </w:r>
            <w:proofErr w:type="gramEnd"/>
            <w:r w:rsidRPr="00396092">
              <w:rPr>
                <w:sz w:val="27"/>
                <w:szCs w:val="27"/>
              </w:rPr>
              <w:t>, д. 29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г. Маркс, ул. </w:t>
            </w:r>
            <w:proofErr w:type="gramStart"/>
            <w:r w:rsidRPr="00396092">
              <w:rPr>
                <w:sz w:val="27"/>
                <w:szCs w:val="27"/>
              </w:rPr>
              <w:t>Интернациональная</w:t>
            </w:r>
            <w:proofErr w:type="gramEnd"/>
            <w:r w:rsidRPr="00396092">
              <w:rPr>
                <w:sz w:val="27"/>
                <w:szCs w:val="27"/>
              </w:rPr>
              <w:t>, д. 33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 xml:space="preserve">г. Маркс, ул. </w:t>
            </w:r>
            <w:proofErr w:type="gramStart"/>
            <w:r w:rsidRPr="00396092">
              <w:rPr>
                <w:sz w:val="27"/>
                <w:szCs w:val="27"/>
              </w:rPr>
              <w:t>Заводская</w:t>
            </w:r>
            <w:proofErr w:type="gramEnd"/>
            <w:r w:rsidRPr="00396092">
              <w:rPr>
                <w:sz w:val="27"/>
                <w:szCs w:val="27"/>
              </w:rPr>
              <w:t>, д.1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д. 139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138,00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11,50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д. 225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231А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231Б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231В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231</w:t>
            </w:r>
            <w:proofErr w:type="gramStart"/>
            <w:r w:rsidRPr="00396092">
              <w:rPr>
                <w:sz w:val="27"/>
                <w:szCs w:val="27"/>
              </w:rPr>
              <w:t xml:space="preserve"> Д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Куйбышева,  д. 231Ж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Энгельса, д. 201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Рабочая, д.254</w:t>
            </w:r>
            <w:proofErr w:type="gramStart"/>
            <w:r w:rsidRPr="00396092">
              <w:rPr>
                <w:sz w:val="27"/>
                <w:szCs w:val="27"/>
              </w:rPr>
              <w:t xml:space="preserve"> Б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220,80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18,40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5-я линия, д. 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5-я линия, д. 19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5-я линия, д. 31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5-я линия, д. 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  <w:tr w:rsidR="00396092" w:rsidRPr="00396092" w:rsidTr="00396092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92" w:rsidRPr="00396092" w:rsidRDefault="00396092" w:rsidP="00396092">
            <w:pPr>
              <w:numPr>
                <w:ilvl w:val="0"/>
                <w:numId w:val="8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г. Маркс, ул. 5-я линия, д. 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174,24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092" w:rsidRPr="00396092" w:rsidRDefault="00396092" w:rsidP="00396092">
            <w:pPr>
              <w:jc w:val="center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14,52</w:t>
            </w:r>
          </w:p>
        </w:tc>
      </w:tr>
    </w:tbl>
    <w:p w:rsidR="00396092" w:rsidRPr="00396092" w:rsidRDefault="00396092" w:rsidP="00396092">
      <w:pPr>
        <w:ind w:firstLine="708"/>
        <w:jc w:val="both"/>
        <w:rPr>
          <w:sz w:val="27"/>
          <w:szCs w:val="27"/>
        </w:rPr>
      </w:pPr>
      <w:r w:rsidRPr="00396092">
        <w:rPr>
          <w:sz w:val="27"/>
          <w:szCs w:val="27"/>
        </w:rPr>
        <w:t>Стандартный перечень коммунальных услуг, предоставляемых управляющей организацией: электроснабжение, газоснабжение, отопление, снабжение холодной водой, водоотведение (вывоз ЖБО). Примечание: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дома.</w:t>
      </w:r>
    </w:p>
    <w:p w:rsidR="00396092" w:rsidRPr="00396092" w:rsidRDefault="00396092" w:rsidP="00396092">
      <w:pPr>
        <w:rPr>
          <w:sz w:val="27"/>
          <w:szCs w:val="27"/>
        </w:rPr>
      </w:pPr>
    </w:p>
    <w:tbl>
      <w:tblPr>
        <w:tblW w:w="9606" w:type="dxa"/>
        <w:tblLook w:val="04A0"/>
      </w:tblPr>
      <w:tblGrid>
        <w:gridCol w:w="5211"/>
        <w:gridCol w:w="2552"/>
        <w:gridCol w:w="1843"/>
      </w:tblGrid>
      <w:tr w:rsidR="00396092" w:rsidRPr="00396092" w:rsidTr="00396092">
        <w:tc>
          <w:tcPr>
            <w:tcW w:w="5211" w:type="dxa"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</w:p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Заместитель главы администрации</w:t>
            </w:r>
          </w:p>
          <w:p w:rsidR="00396092" w:rsidRPr="00396092" w:rsidRDefault="00396092" w:rsidP="00396092">
            <w:pPr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Марксовского муниципального района</w:t>
            </w:r>
          </w:p>
        </w:tc>
        <w:tc>
          <w:tcPr>
            <w:tcW w:w="2552" w:type="dxa"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396092" w:rsidRPr="00396092" w:rsidRDefault="00396092" w:rsidP="00396092">
            <w:pPr>
              <w:rPr>
                <w:sz w:val="27"/>
                <w:szCs w:val="27"/>
              </w:rPr>
            </w:pPr>
          </w:p>
          <w:p w:rsidR="00396092" w:rsidRPr="00396092" w:rsidRDefault="00396092" w:rsidP="00396092">
            <w:pPr>
              <w:rPr>
                <w:sz w:val="27"/>
                <w:szCs w:val="27"/>
              </w:rPr>
            </w:pPr>
          </w:p>
          <w:p w:rsidR="00396092" w:rsidRPr="00396092" w:rsidRDefault="00396092" w:rsidP="00396092">
            <w:pPr>
              <w:jc w:val="right"/>
              <w:rPr>
                <w:sz w:val="27"/>
                <w:szCs w:val="27"/>
              </w:rPr>
            </w:pPr>
            <w:r w:rsidRPr="00396092">
              <w:rPr>
                <w:sz w:val="27"/>
                <w:szCs w:val="27"/>
              </w:rPr>
              <w:t>В.В. Шевела</w:t>
            </w:r>
          </w:p>
        </w:tc>
      </w:tr>
    </w:tbl>
    <w:p w:rsidR="00E21684" w:rsidRDefault="00E21684"/>
    <w:sectPr w:rsidR="00E21684" w:rsidSect="00E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9938AA"/>
    <w:multiLevelType w:val="hybridMultilevel"/>
    <w:tmpl w:val="9996B9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0556B"/>
    <w:multiLevelType w:val="hybridMultilevel"/>
    <w:tmpl w:val="9996B9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A0304"/>
    <w:multiLevelType w:val="hybridMultilevel"/>
    <w:tmpl w:val="83F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92"/>
    <w:rsid w:val="00124CE6"/>
    <w:rsid w:val="00396092"/>
    <w:rsid w:val="00446AAA"/>
    <w:rsid w:val="004F4453"/>
    <w:rsid w:val="00504FC1"/>
    <w:rsid w:val="00610ED8"/>
    <w:rsid w:val="007A18CE"/>
    <w:rsid w:val="00A43C8F"/>
    <w:rsid w:val="00A55D2D"/>
    <w:rsid w:val="00B30D3C"/>
    <w:rsid w:val="00BF3F64"/>
    <w:rsid w:val="00CB7F63"/>
    <w:rsid w:val="00E21684"/>
    <w:rsid w:val="00EF3128"/>
    <w:rsid w:val="00F1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60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6092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96092"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nhideWhenUsed/>
    <w:qFormat/>
    <w:rsid w:val="003960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0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0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96092"/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39609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9609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960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396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09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9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960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96092"/>
    <w:pPr>
      <w:suppressAutoHyphens w:val="0"/>
    </w:pPr>
    <w:rPr>
      <w:rFonts w:ascii="Arial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60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0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960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60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960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60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396092"/>
    <w:rPr>
      <w:rFonts w:cs="Mangal"/>
    </w:rPr>
  </w:style>
  <w:style w:type="paragraph" w:styleId="ad">
    <w:name w:val="Title"/>
    <w:basedOn w:val="a"/>
    <w:link w:val="ae"/>
    <w:uiPriority w:val="99"/>
    <w:qFormat/>
    <w:rsid w:val="00396092"/>
    <w:pPr>
      <w:widowControl w:val="0"/>
      <w:suppressAutoHyphens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96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96092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96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10"/>
    <w:uiPriority w:val="99"/>
    <w:semiHidden/>
    <w:unhideWhenUsed/>
    <w:rsid w:val="0039609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0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39609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96092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3960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6092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39609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39609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7">
    <w:name w:val="Заголовок"/>
    <w:basedOn w:val="a"/>
    <w:next w:val="aa"/>
    <w:uiPriority w:val="99"/>
    <w:rsid w:val="003960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uiPriority w:val="99"/>
    <w:rsid w:val="00396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396092"/>
    <w:pPr>
      <w:suppressLineNumbers/>
    </w:pPr>
    <w:rPr>
      <w:rFonts w:cs="Mangal"/>
    </w:rPr>
  </w:style>
  <w:style w:type="paragraph" w:customStyle="1" w:styleId="211">
    <w:name w:val="Основной текст с отступом 21"/>
    <w:basedOn w:val="a"/>
    <w:uiPriority w:val="99"/>
    <w:rsid w:val="00396092"/>
    <w:pPr>
      <w:ind w:firstLine="709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396092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396092"/>
    <w:pPr>
      <w:spacing w:after="120"/>
      <w:ind w:left="283"/>
    </w:pPr>
    <w:rPr>
      <w:sz w:val="16"/>
      <w:szCs w:val="16"/>
    </w:rPr>
  </w:style>
  <w:style w:type="paragraph" w:customStyle="1" w:styleId="a20">
    <w:name w:val="a2"/>
    <w:basedOn w:val="a"/>
    <w:uiPriority w:val="99"/>
    <w:rsid w:val="00396092"/>
    <w:pPr>
      <w:spacing w:before="280" w:after="280"/>
    </w:pPr>
    <w:rPr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39609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60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396092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15"/>
      <w:szCs w:val="15"/>
      <w:lang w:eastAsia="ru-RU"/>
    </w:rPr>
  </w:style>
  <w:style w:type="paragraph" w:customStyle="1" w:styleId="ConsNonformat">
    <w:name w:val="ConsNonformat"/>
    <w:uiPriority w:val="99"/>
    <w:rsid w:val="00396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60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9609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9">
    <w:name w:val="Комментарий"/>
    <w:basedOn w:val="a"/>
    <w:next w:val="a"/>
    <w:uiPriority w:val="99"/>
    <w:rsid w:val="00396092"/>
    <w:pPr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96092"/>
    <w:pPr>
      <w:spacing w:before="0"/>
    </w:pPr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396092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bsatz-Standardschriftart">
    <w:name w:val="Absatz-Standardschriftart"/>
    <w:rsid w:val="00396092"/>
  </w:style>
  <w:style w:type="character" w:customStyle="1" w:styleId="13">
    <w:name w:val="Основной шрифт абзаца1"/>
    <w:rsid w:val="00396092"/>
  </w:style>
  <w:style w:type="character" w:customStyle="1" w:styleId="afc">
    <w:name w:val="Гипертекстовая ссылка"/>
    <w:basedOn w:val="a0"/>
    <w:uiPriority w:val="99"/>
    <w:rsid w:val="00396092"/>
    <w:rPr>
      <w:rFonts w:ascii="Times New Roman" w:hAnsi="Times New Roman" w:cs="Times New Roman" w:hint="default"/>
      <w:color w:val="106BBE"/>
    </w:rPr>
  </w:style>
  <w:style w:type="character" w:customStyle="1" w:styleId="afd">
    <w:name w:val="Цветовое выделение"/>
    <w:uiPriority w:val="99"/>
    <w:rsid w:val="00396092"/>
    <w:rPr>
      <w:b/>
      <w:bCs/>
      <w:color w:val="26282F"/>
    </w:rPr>
  </w:style>
  <w:style w:type="character" w:customStyle="1" w:styleId="afe">
    <w:name w:val="Сравнение редакций. Добавленный фрагмент"/>
    <w:uiPriority w:val="99"/>
    <w:rsid w:val="00396092"/>
    <w:rPr>
      <w:color w:val="000000"/>
      <w:shd w:val="clear" w:color="auto" w:fill="C1D7FF"/>
    </w:rPr>
  </w:style>
  <w:style w:type="character" w:customStyle="1" w:styleId="button-search">
    <w:name w:val="button-search"/>
    <w:basedOn w:val="a0"/>
    <w:rsid w:val="00396092"/>
  </w:style>
  <w:style w:type="character" w:customStyle="1" w:styleId="14">
    <w:name w:val="Знак1"/>
    <w:rsid w:val="00396092"/>
    <w:rPr>
      <w:rFonts w:ascii="Arial" w:hAnsi="Arial" w:cs="Arial" w:hint="default"/>
    </w:rPr>
  </w:style>
  <w:style w:type="character" w:customStyle="1" w:styleId="aff">
    <w:name w:val="Знак"/>
    <w:rsid w:val="00396092"/>
    <w:rPr>
      <w:rFonts w:ascii="Arial" w:hAnsi="Arial" w:cs="Arial" w:hint="default"/>
    </w:rPr>
  </w:style>
  <w:style w:type="character" w:customStyle="1" w:styleId="23">
    <w:name w:val="Знак2"/>
    <w:rsid w:val="00396092"/>
    <w:rPr>
      <w:b/>
      <w:bCs w:val="0"/>
      <w:sz w:val="30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39609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obj-kadnum">
    <w:name w:val="obj-kadnum"/>
    <w:basedOn w:val="a0"/>
    <w:rsid w:val="00396092"/>
  </w:style>
  <w:style w:type="character" w:customStyle="1" w:styleId="register-cardval">
    <w:name w:val="register-card__val"/>
    <w:basedOn w:val="a0"/>
    <w:rsid w:val="00396092"/>
  </w:style>
  <w:style w:type="character" w:customStyle="1" w:styleId="ng-binding">
    <w:name w:val="ng-binding"/>
    <w:basedOn w:val="a0"/>
    <w:rsid w:val="00396092"/>
  </w:style>
  <w:style w:type="table" w:styleId="aff0">
    <w:name w:val="Table Grid"/>
    <w:basedOn w:val="a1"/>
    <w:uiPriority w:val="59"/>
    <w:rsid w:val="003960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Company>Krokoz™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жуйкова-лс</dc:creator>
  <cp:keywords/>
  <dc:description/>
  <cp:lastModifiedBy>жуйкова-лс</cp:lastModifiedBy>
  <cp:revision>2</cp:revision>
  <dcterms:created xsi:type="dcterms:W3CDTF">2024-08-20T11:45:00Z</dcterms:created>
  <dcterms:modified xsi:type="dcterms:W3CDTF">2024-08-20T11:46:00Z</dcterms:modified>
</cp:coreProperties>
</file>